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5B6A4">
      <w:pPr>
        <w:rPr>
          <w:rFonts w:hint="eastAsia" w:ascii="黑体" w:hAnsi="黑体" w:eastAsia="黑体"/>
          <w:sz w:val="32"/>
          <w:szCs w:val="32"/>
        </w:rPr>
      </w:pPr>
    </w:p>
    <w:p w14:paraId="53EC6042">
      <w:pPr>
        <w:jc w:val="center"/>
        <w:rPr>
          <w:rFonts w:hint="eastAsia" w:ascii="方正小标宋_GBK" w:hAnsi="宋体" w:eastAsia="方正小标宋_GBK"/>
          <w:sz w:val="44"/>
          <w:szCs w:val="44"/>
        </w:rPr>
      </w:pPr>
    </w:p>
    <w:p w14:paraId="483E377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中共木垒哈萨克自治县直属机关工作</w:t>
      </w:r>
    </w:p>
    <w:p w14:paraId="5AE2C1DD">
      <w:pPr>
        <w:jc w:val="center"/>
        <w:rPr>
          <w:rFonts w:hint="eastAsia" w:ascii="方正小标宋_GBK" w:hAnsi="宋体" w:eastAsia="方正小标宋_GBK"/>
          <w:sz w:val="44"/>
          <w:szCs w:val="44"/>
        </w:rPr>
      </w:pPr>
      <w:r>
        <w:rPr>
          <w:rFonts w:hint="eastAsia" w:ascii="方正小标宋_GBK" w:hAnsi="宋体" w:eastAsia="方正小标宋_GBK"/>
          <w:sz w:val="44"/>
          <w:szCs w:val="44"/>
          <w:lang w:eastAsia="zh-CN"/>
        </w:rPr>
        <w:t>委员</w:t>
      </w:r>
      <w:r>
        <w:rPr>
          <w:rFonts w:hint="eastAsia" w:ascii="方正小标宋_GBK" w:hAnsi="宋体" w:eastAsia="方正小标宋_GBK"/>
          <w:sz w:val="44"/>
          <w:szCs w:val="44"/>
        </w:rPr>
        <w:t>会2023年度部门决算</w:t>
      </w:r>
    </w:p>
    <w:p w14:paraId="483417E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185998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D5F10F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31A3CB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0988E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79EAF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DB2DE1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1FEC7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62C44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B3C32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F7932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78741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AF6A0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2842A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350C9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D6004E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7AA0B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17EB2E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4A300A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C5D806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A13D8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6757F9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4ADBEE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882142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14B69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51EAE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52307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BDD7D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B2A62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41E66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D430C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0561FAD">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309FAB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0E3907A">
      <w:r>
        <w:rPr>
          <w:rFonts w:hint="eastAsia" w:ascii="仿宋_GB2312" w:hAnsi="仿宋_GB2312" w:eastAsia="仿宋_GB2312" w:cs="仿宋_GB2312"/>
          <w:sz w:val="32"/>
          <w:szCs w:val="32"/>
        </w:rPr>
        <w:fldChar w:fldCharType="end"/>
      </w:r>
    </w:p>
    <w:p w14:paraId="752A5DED">
      <w:pPr>
        <w:rPr>
          <w:rFonts w:ascii="仿宋_GB2312" w:eastAsia="仿宋_GB2312"/>
          <w:sz w:val="32"/>
          <w:szCs w:val="32"/>
        </w:rPr>
      </w:pPr>
      <w:r>
        <w:rPr>
          <w:rFonts w:hint="eastAsia" w:ascii="仿宋_GB2312" w:eastAsia="仿宋_GB2312"/>
          <w:sz w:val="32"/>
          <w:szCs w:val="32"/>
        </w:rPr>
        <w:br w:type="page"/>
      </w:r>
    </w:p>
    <w:p w14:paraId="7562437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5C3C596">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27FE7BA">
      <w:pPr>
        <w:ind w:firstLine="640" w:firstLineChars="200"/>
        <w:jc w:val="left"/>
        <w:rPr>
          <w:rFonts w:ascii="仿宋_GB2312" w:eastAsia="仿宋_GB2312"/>
          <w:sz w:val="32"/>
          <w:szCs w:val="32"/>
        </w:rPr>
      </w:pPr>
      <w:r>
        <w:rPr>
          <w:rFonts w:hint="eastAsia" w:ascii="仿宋_GB2312" w:eastAsia="仿宋_GB2312"/>
          <w:sz w:val="32"/>
          <w:szCs w:val="32"/>
        </w:rPr>
        <w:t>1.统一组织、规划、部署自治县直属机关党的工作，提出加强和改进机关党的建设的意见和建议，研究制定工作规划，并抓好组织实施。</w:t>
      </w:r>
    </w:p>
    <w:p w14:paraId="0FE9BB6A">
      <w:pPr>
        <w:ind w:firstLine="640" w:firstLineChars="200"/>
        <w:jc w:val="left"/>
        <w:rPr>
          <w:rFonts w:ascii="仿宋_GB2312" w:eastAsia="仿宋_GB2312"/>
          <w:sz w:val="32"/>
          <w:szCs w:val="32"/>
        </w:rPr>
      </w:pPr>
      <w:r>
        <w:rPr>
          <w:rFonts w:hint="eastAsia" w:ascii="仿宋_GB2312" w:eastAsia="仿宋_GB2312"/>
          <w:sz w:val="32"/>
          <w:szCs w:val="32"/>
        </w:rPr>
        <w:t>2.指导督促自治县直属机关党</w:t>
      </w:r>
      <w:r>
        <w:rPr>
          <w:rFonts w:hint="eastAsia" w:ascii="仿宋_GB2312" w:eastAsia="仿宋_GB2312"/>
          <w:sz w:val="32"/>
          <w:szCs w:val="32"/>
          <w:lang w:eastAsia="zh-CN"/>
        </w:rPr>
        <w:t>组织</w:t>
      </w:r>
      <w:r>
        <w:rPr>
          <w:rFonts w:hint="eastAsia" w:ascii="仿宋_GB2312" w:eastAsia="仿宋_GB2312"/>
          <w:sz w:val="32"/>
          <w:szCs w:val="32"/>
        </w:rPr>
        <w:t>（党委）认真履行机关党建主体责任。指导自治县直属机关党的政治建设、思想建设、组织建设、作风建设、纪律建设，把制度建设贯穿其中，深入推进反腐败斗争。</w:t>
      </w:r>
    </w:p>
    <w:p w14:paraId="14C79A1E">
      <w:pPr>
        <w:ind w:firstLine="640" w:firstLineChars="200"/>
        <w:jc w:val="left"/>
        <w:rPr>
          <w:rFonts w:ascii="仿宋_GB2312" w:eastAsia="仿宋_GB2312"/>
          <w:sz w:val="32"/>
          <w:szCs w:val="32"/>
        </w:rPr>
      </w:pPr>
      <w:r>
        <w:rPr>
          <w:rFonts w:hint="eastAsia" w:ascii="仿宋_GB2312" w:eastAsia="仿宋_GB2312"/>
          <w:sz w:val="32"/>
          <w:szCs w:val="32"/>
        </w:rPr>
        <w:t>3.指导自治县直属机关各级党组织和广大党员学习马克思列宁主义、毛泽东思想、邓小平理论、“三个代表”重要思想、科学发展观、习近平新时代中国特色社会主义思想。</w:t>
      </w:r>
    </w:p>
    <w:p w14:paraId="487024C0">
      <w:pPr>
        <w:ind w:firstLine="640" w:firstLineChars="200"/>
        <w:jc w:val="left"/>
        <w:rPr>
          <w:rFonts w:ascii="仿宋_GB2312" w:eastAsia="仿宋_GB2312"/>
          <w:sz w:val="32"/>
          <w:szCs w:val="32"/>
        </w:rPr>
      </w:pPr>
      <w:r>
        <w:rPr>
          <w:rFonts w:hint="eastAsia" w:ascii="仿宋_GB2312" w:eastAsia="仿宋_GB2312"/>
          <w:sz w:val="32"/>
          <w:szCs w:val="32"/>
        </w:rPr>
        <w:t>4.对自治县直属机关各级党组织、党员领导干部落实党建责任制、遵守政治纪律和政治规矩情况进行监督检查，并向自治县党委报告。</w:t>
      </w:r>
    </w:p>
    <w:p w14:paraId="113EA7E7">
      <w:pPr>
        <w:ind w:firstLine="640" w:firstLineChars="200"/>
        <w:jc w:val="left"/>
        <w:rPr>
          <w:rFonts w:ascii="仿宋_GB2312" w:eastAsia="仿宋_GB2312"/>
          <w:sz w:val="32"/>
          <w:szCs w:val="32"/>
        </w:rPr>
      </w:pPr>
      <w:r>
        <w:rPr>
          <w:rFonts w:hint="eastAsia" w:ascii="仿宋_GB2312" w:eastAsia="仿宋_GB2312"/>
          <w:sz w:val="32"/>
          <w:szCs w:val="32"/>
        </w:rPr>
        <w:t>5.指导自治县直属机关各级党组织实施对党员特别是党员领导干部的监督和管理，及时向自治县党委反映各部门领导班子、领导干部的情况。</w:t>
      </w:r>
    </w:p>
    <w:p w14:paraId="2BBC0DB4">
      <w:pPr>
        <w:ind w:firstLine="640" w:firstLineChars="200"/>
        <w:jc w:val="left"/>
        <w:rPr>
          <w:rFonts w:ascii="仿宋_GB2312" w:eastAsia="仿宋_GB2312"/>
          <w:sz w:val="32"/>
          <w:szCs w:val="32"/>
        </w:rPr>
      </w:pPr>
      <w:r>
        <w:rPr>
          <w:rFonts w:hint="eastAsia" w:ascii="仿宋_GB2312" w:eastAsia="仿宋_GB2312"/>
          <w:sz w:val="32"/>
          <w:szCs w:val="32"/>
        </w:rPr>
        <w:t>6.配合自治县有关部门做好自治县直属机关各部门领导班子思想政治建设，参与对党员领导干部民主生活会和党组（党委）理论学习、中心组学习的督促检查和指导，了解掌握情况，按规定报送情况报告。</w:t>
      </w:r>
    </w:p>
    <w:p w14:paraId="6866827D">
      <w:pPr>
        <w:ind w:firstLine="640" w:firstLineChars="200"/>
        <w:jc w:val="left"/>
        <w:rPr>
          <w:rFonts w:ascii="仿宋_GB2312" w:eastAsia="仿宋_GB2312"/>
          <w:sz w:val="32"/>
          <w:szCs w:val="32"/>
        </w:rPr>
      </w:pPr>
      <w:r>
        <w:rPr>
          <w:rFonts w:hint="eastAsia" w:ascii="仿宋_GB2312" w:eastAsia="仿宋_GB2312"/>
          <w:sz w:val="32"/>
          <w:szCs w:val="32"/>
        </w:rPr>
        <w:t>7.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3FA8D5EB">
      <w:pPr>
        <w:ind w:firstLine="640" w:firstLineChars="200"/>
        <w:jc w:val="left"/>
        <w:rPr>
          <w:rFonts w:ascii="仿宋_GB2312" w:eastAsia="仿宋_GB2312"/>
          <w:sz w:val="32"/>
          <w:szCs w:val="32"/>
        </w:rPr>
      </w:pPr>
      <w:r>
        <w:rPr>
          <w:rFonts w:hint="eastAsia" w:ascii="仿宋_GB2312" w:eastAsia="仿宋_GB2312"/>
          <w:sz w:val="32"/>
          <w:szCs w:val="32"/>
        </w:rPr>
        <w:t>8.指导自治县直属机关各级党组织加强基层组织建设，做好党员发展、教育和管理等工作。</w:t>
      </w:r>
    </w:p>
    <w:p w14:paraId="4B237069">
      <w:pPr>
        <w:ind w:firstLine="640" w:firstLineChars="200"/>
        <w:jc w:val="left"/>
        <w:rPr>
          <w:rFonts w:ascii="仿宋_GB2312" w:eastAsia="仿宋_GB2312"/>
          <w:sz w:val="32"/>
          <w:szCs w:val="32"/>
        </w:rPr>
      </w:pPr>
      <w:r>
        <w:rPr>
          <w:rFonts w:hint="eastAsia" w:ascii="仿宋_GB2312" w:eastAsia="仿宋_GB2312"/>
          <w:sz w:val="32"/>
          <w:szCs w:val="32"/>
        </w:rPr>
        <w:t>9.了解掌握自治县直属机关工作人员的思想状况，指导自治县直属机关各级党组织加强思想政治工作和精神文明建设。</w:t>
      </w:r>
    </w:p>
    <w:p w14:paraId="299C5665">
      <w:pPr>
        <w:ind w:firstLine="640" w:firstLineChars="200"/>
        <w:jc w:val="left"/>
        <w:rPr>
          <w:rFonts w:ascii="仿宋_GB2312" w:eastAsia="仿宋_GB2312"/>
          <w:sz w:val="32"/>
          <w:szCs w:val="32"/>
        </w:rPr>
      </w:pPr>
      <w:r>
        <w:rPr>
          <w:rFonts w:hint="eastAsia" w:ascii="仿宋_GB2312" w:eastAsia="仿宋_GB2312"/>
          <w:sz w:val="32"/>
          <w:szCs w:val="32"/>
        </w:rPr>
        <w:t>10.领导自治县直属机关工会、共青团等群团组织的工作，指导自治县直属机关各级党组织做好党的群众工作。</w:t>
      </w:r>
    </w:p>
    <w:p w14:paraId="6DAB29E5">
      <w:pPr>
        <w:ind w:firstLine="640" w:firstLineChars="200"/>
        <w:jc w:val="left"/>
        <w:rPr>
          <w:rFonts w:ascii="仿宋_GB2312" w:eastAsia="仿宋_GB2312"/>
          <w:sz w:val="32"/>
          <w:szCs w:val="32"/>
        </w:rPr>
      </w:pPr>
      <w:r>
        <w:rPr>
          <w:rFonts w:hint="eastAsia" w:ascii="仿宋_GB2312" w:eastAsia="仿宋_GB2312"/>
          <w:sz w:val="32"/>
          <w:szCs w:val="32"/>
        </w:rPr>
        <w:t>11.协同有关部门指导、规划、协调、监督、检查自治县直属机关党员干部教育培训工作，培训轮训自治县直属机关党员干部、党务干部及党员发展对象。</w:t>
      </w:r>
    </w:p>
    <w:p w14:paraId="5A7321CA">
      <w:pPr>
        <w:ind w:firstLine="640" w:firstLineChars="200"/>
        <w:jc w:val="left"/>
        <w:rPr>
          <w:rFonts w:ascii="仿宋_GB2312" w:eastAsia="仿宋_GB2312"/>
          <w:sz w:val="32"/>
          <w:szCs w:val="32"/>
        </w:rPr>
      </w:pPr>
      <w:r>
        <w:rPr>
          <w:rFonts w:hint="eastAsia" w:ascii="仿宋_GB2312" w:eastAsia="仿宋_GB2312"/>
          <w:sz w:val="32"/>
          <w:szCs w:val="32"/>
        </w:rPr>
        <w:t>12.完成自治县党委交办的其他任务。</w:t>
      </w:r>
    </w:p>
    <w:p w14:paraId="0DE415E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22A133F">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中共木垒哈萨克自治县直属机关工作委员会2023年度，实有人数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64C2944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2B9EFFAF">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DC3B43E">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7E675EF">
      <w:pPr>
        <w:ind w:firstLine="640" w:firstLineChars="200"/>
        <w:jc w:val="left"/>
        <w:rPr>
          <w:rFonts w:ascii="仿宋_GB2312" w:eastAsia="仿宋_GB2312"/>
          <w:sz w:val="32"/>
          <w:szCs w:val="32"/>
        </w:rPr>
      </w:pPr>
      <w:r>
        <w:rPr>
          <w:rFonts w:hint="eastAsia" w:ascii="仿宋_GB2312" w:eastAsia="仿宋_GB2312"/>
          <w:sz w:val="32"/>
          <w:szCs w:val="32"/>
        </w:rPr>
        <w:t>2023年度收入总计117.94万元，其中：本年收入合计117.94万元，使用非财政拨款结余0.00万元，年初结转和结余0.00万元。</w:t>
      </w:r>
    </w:p>
    <w:p w14:paraId="4F470945">
      <w:pPr>
        <w:ind w:firstLine="640" w:firstLineChars="200"/>
        <w:jc w:val="left"/>
        <w:rPr>
          <w:rFonts w:ascii="仿宋_GB2312" w:eastAsia="仿宋_GB2312"/>
          <w:sz w:val="32"/>
          <w:szCs w:val="32"/>
        </w:rPr>
      </w:pPr>
      <w:r>
        <w:rPr>
          <w:rFonts w:hint="eastAsia" w:ascii="仿宋_GB2312" w:eastAsia="仿宋_GB2312"/>
          <w:sz w:val="32"/>
          <w:szCs w:val="32"/>
        </w:rPr>
        <w:t>2023年度支出总计117.94万元，其中：本年支出合计117.94万元，结余分配0.00万元，年末结转和结余0.00万元。</w:t>
      </w:r>
    </w:p>
    <w:p w14:paraId="733B85C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增加13.38万元</w:t>
      </w:r>
      <w:r>
        <w:rPr>
          <w:rFonts w:hint="eastAsia" w:ascii="仿宋_GB2312" w:eastAsia="仿宋_GB2312"/>
          <w:sz w:val="32"/>
          <w:szCs w:val="32"/>
        </w:rPr>
        <w:t>，增长12.80%，主要原因是：</w:t>
      </w:r>
      <w:r>
        <w:rPr>
          <w:rFonts w:hint="eastAsia" w:ascii="仿宋_GB2312" w:eastAsia="仿宋_GB2312"/>
          <w:kern w:val="2"/>
          <w:sz w:val="32"/>
          <w:szCs w:val="32"/>
          <w:lang w:val="zh-CN"/>
        </w:rPr>
        <w:t>本年单位</w:t>
      </w:r>
      <w:r>
        <w:rPr>
          <w:rFonts w:hint="eastAsia" w:ascii="仿宋_GB2312" w:eastAsia="仿宋_GB2312"/>
          <w:kern w:val="2"/>
          <w:sz w:val="32"/>
          <w:szCs w:val="32"/>
          <w:lang w:val="en-US" w:eastAsia="zh-CN"/>
        </w:rPr>
        <w:t>在职人员工资调增，工资、津贴补贴、奖金等相关人员经费增加</w:t>
      </w:r>
      <w:r>
        <w:rPr>
          <w:rFonts w:hint="eastAsia" w:ascii="仿宋_GB2312" w:eastAsia="仿宋_GB2312"/>
          <w:sz w:val="32"/>
          <w:szCs w:val="32"/>
        </w:rPr>
        <w:t>。</w:t>
      </w:r>
    </w:p>
    <w:p w14:paraId="4D887B89">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7F81901">
      <w:pPr>
        <w:ind w:firstLine="640" w:firstLineChars="200"/>
        <w:jc w:val="left"/>
        <w:rPr>
          <w:rFonts w:ascii="仿宋_GB2312" w:eastAsia="仿宋_GB2312"/>
          <w:sz w:val="32"/>
          <w:szCs w:val="32"/>
        </w:rPr>
      </w:pPr>
      <w:r>
        <w:rPr>
          <w:rFonts w:hint="eastAsia" w:ascii="仿宋_GB2312" w:eastAsia="仿宋_GB2312"/>
          <w:sz w:val="32"/>
          <w:szCs w:val="32"/>
        </w:rPr>
        <w:t>本年收入117.94万元，其中：财政拨款收入</w:t>
      </w:r>
      <w:r>
        <w:rPr>
          <w:rFonts w:hint="eastAsia" w:ascii="仿宋_GB2312" w:eastAsia="仿宋_GB2312"/>
          <w:sz w:val="32"/>
          <w:szCs w:val="32"/>
          <w:lang w:val="zh-CN"/>
        </w:rPr>
        <w:t>117.94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3E3F3D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B0F171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本年支出117.94万元，其中：基本支出117.94万元，占100.00%；项目支出0.00万元，占0.00%；上缴上级支出0.00万元，占0.00%；经营支出0.00万元，占0.00%；对附属单位补助支出0.00万元，占0.00%。</w:t>
      </w:r>
    </w:p>
    <w:p w14:paraId="3CF6855B">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866DB6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117.94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117.94</w:t>
      </w:r>
      <w:r>
        <w:rPr>
          <w:rFonts w:hint="eastAsia" w:ascii="仿宋_GB2312" w:eastAsia="仿宋_GB2312"/>
          <w:sz w:val="32"/>
          <w:szCs w:val="32"/>
        </w:rPr>
        <w:t>万元。财政拨款支出总计</w:t>
      </w:r>
      <w:r>
        <w:rPr>
          <w:rFonts w:hint="eastAsia" w:ascii="仿宋_GB2312" w:eastAsia="仿宋_GB2312"/>
          <w:sz w:val="32"/>
          <w:szCs w:val="32"/>
          <w:lang w:val="zh-CN"/>
        </w:rPr>
        <w:t>117.94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117.94</w:t>
      </w:r>
      <w:r>
        <w:rPr>
          <w:rFonts w:hint="eastAsia" w:ascii="仿宋_GB2312" w:eastAsia="仿宋_GB2312"/>
          <w:sz w:val="32"/>
          <w:szCs w:val="32"/>
        </w:rPr>
        <w:t>万元。</w:t>
      </w:r>
    </w:p>
    <w:p w14:paraId="7CFB2AF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增加13.38万元</w:t>
      </w:r>
      <w:r>
        <w:rPr>
          <w:rFonts w:hint="eastAsia" w:ascii="仿宋_GB2312" w:eastAsia="仿宋_GB2312"/>
          <w:sz w:val="32"/>
          <w:szCs w:val="32"/>
        </w:rPr>
        <w:t>，增长12.79%,主要原因是：</w:t>
      </w:r>
      <w:r>
        <w:rPr>
          <w:rFonts w:hint="eastAsia" w:ascii="仿宋_GB2312" w:eastAsia="仿宋_GB2312"/>
          <w:kern w:val="2"/>
          <w:sz w:val="32"/>
          <w:szCs w:val="32"/>
          <w:lang w:val="zh-CN"/>
        </w:rPr>
        <w:t>本年单位</w:t>
      </w:r>
      <w:r>
        <w:rPr>
          <w:rFonts w:hint="eastAsia" w:ascii="仿宋_GB2312" w:eastAsia="仿宋_GB2312"/>
          <w:kern w:val="2"/>
          <w:sz w:val="32"/>
          <w:szCs w:val="32"/>
          <w:lang w:val="en-US" w:eastAsia="zh-CN"/>
        </w:rPr>
        <w:t>在职人员工资调增，工资、津贴补贴、奖金等相关人员经费增加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115.33</w:t>
      </w:r>
      <w:r>
        <w:rPr>
          <w:rFonts w:hint="eastAsia" w:ascii="仿宋_GB2312" w:eastAsia="仿宋_GB2312"/>
          <w:sz w:val="32"/>
          <w:szCs w:val="32"/>
        </w:rPr>
        <w:t>万元，决算数</w:t>
      </w:r>
      <w:r>
        <w:rPr>
          <w:rFonts w:hint="eastAsia" w:ascii="仿宋_GB2312" w:eastAsia="仿宋_GB2312"/>
          <w:sz w:val="32"/>
          <w:szCs w:val="32"/>
          <w:lang w:val="zh-CN"/>
        </w:rPr>
        <w:t>117.94</w:t>
      </w:r>
      <w:r>
        <w:rPr>
          <w:rFonts w:hint="eastAsia" w:ascii="仿宋_GB2312" w:eastAsia="仿宋_GB2312"/>
          <w:sz w:val="32"/>
          <w:szCs w:val="32"/>
        </w:rPr>
        <w:t>万元，预决算差异率2.26%，主要原因是：</w:t>
      </w:r>
      <w:r>
        <w:rPr>
          <w:rFonts w:hint="eastAsia" w:ascii="仿宋_GB2312" w:eastAsia="仿宋_GB2312"/>
          <w:kern w:val="2"/>
          <w:sz w:val="32"/>
          <w:szCs w:val="32"/>
          <w:lang w:val="zh-CN"/>
        </w:rPr>
        <w:t>本年单位</w:t>
      </w:r>
      <w:r>
        <w:rPr>
          <w:rFonts w:hint="eastAsia" w:ascii="仿宋_GB2312" w:eastAsia="仿宋_GB2312"/>
          <w:kern w:val="2"/>
          <w:sz w:val="32"/>
          <w:szCs w:val="32"/>
          <w:lang w:val="en-US" w:eastAsia="zh-CN"/>
        </w:rPr>
        <w:t>在职人员工资调增，年中追加工资、津贴补贴、奖金等相关人员经费</w:t>
      </w:r>
      <w:r>
        <w:rPr>
          <w:rFonts w:hint="eastAsia" w:ascii="仿宋_GB2312" w:eastAsia="仿宋_GB2312"/>
          <w:sz w:val="32"/>
          <w:szCs w:val="32"/>
        </w:rPr>
        <w:t>。</w:t>
      </w:r>
    </w:p>
    <w:p w14:paraId="4AAB78C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F4555A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1F43FC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2023年度一般公共预算财政拨款支出117.94万元，占本年支出合计的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增加13.38万元</w:t>
      </w:r>
      <w:r>
        <w:rPr>
          <w:rFonts w:hint="eastAsia" w:ascii="仿宋_GB2312" w:eastAsia="仿宋_GB2312"/>
          <w:sz w:val="32"/>
          <w:szCs w:val="32"/>
        </w:rPr>
        <w:t>，增长12.80%,主要原因是：</w:t>
      </w:r>
      <w:r>
        <w:rPr>
          <w:rFonts w:hint="eastAsia" w:ascii="仿宋_GB2312" w:eastAsia="仿宋_GB2312"/>
          <w:kern w:val="2"/>
          <w:sz w:val="32"/>
          <w:szCs w:val="32"/>
          <w:lang w:val="zh-CN"/>
        </w:rPr>
        <w:t>本年单位</w:t>
      </w:r>
      <w:r>
        <w:rPr>
          <w:rFonts w:hint="eastAsia" w:ascii="仿宋_GB2312" w:eastAsia="仿宋_GB2312"/>
          <w:kern w:val="2"/>
          <w:sz w:val="32"/>
          <w:szCs w:val="32"/>
          <w:lang w:val="en-US" w:eastAsia="zh-CN"/>
        </w:rPr>
        <w:t>在职人员工资调增，工资、津贴补贴、奖金等相关人员经费增加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115.33</w:t>
      </w:r>
      <w:r>
        <w:rPr>
          <w:rFonts w:hint="eastAsia" w:ascii="仿宋_GB2312" w:eastAsia="仿宋_GB2312"/>
          <w:sz w:val="32"/>
          <w:szCs w:val="32"/>
        </w:rPr>
        <w:t>万元，决算数</w:t>
      </w:r>
      <w:r>
        <w:rPr>
          <w:rFonts w:hint="eastAsia" w:ascii="仿宋_GB2312" w:eastAsia="仿宋_GB2312"/>
          <w:sz w:val="32"/>
          <w:szCs w:val="32"/>
          <w:lang w:val="zh-CN"/>
        </w:rPr>
        <w:t>117.94</w:t>
      </w:r>
      <w:r>
        <w:rPr>
          <w:rFonts w:hint="eastAsia" w:ascii="仿宋_GB2312" w:eastAsia="仿宋_GB2312"/>
          <w:sz w:val="32"/>
          <w:szCs w:val="32"/>
        </w:rPr>
        <w:t>万元，预决算差异率</w:t>
      </w:r>
      <w:r>
        <w:rPr>
          <w:rFonts w:hint="eastAsia" w:ascii="仿宋_GB2312" w:eastAsia="仿宋_GB2312"/>
          <w:sz w:val="32"/>
          <w:szCs w:val="32"/>
          <w:lang w:val="zh-CN"/>
        </w:rPr>
        <w:t>2.26%</w:t>
      </w:r>
      <w:r>
        <w:rPr>
          <w:rFonts w:hint="eastAsia" w:ascii="仿宋_GB2312" w:eastAsia="仿宋_GB2312"/>
          <w:sz w:val="32"/>
          <w:szCs w:val="32"/>
        </w:rPr>
        <w:t>，主要原因是：</w:t>
      </w:r>
      <w:r>
        <w:rPr>
          <w:rFonts w:hint="eastAsia" w:ascii="仿宋_GB2312" w:eastAsia="仿宋_GB2312"/>
          <w:kern w:val="2"/>
          <w:sz w:val="32"/>
          <w:szCs w:val="32"/>
          <w:lang w:val="zh-CN"/>
        </w:rPr>
        <w:t>本年单位</w:t>
      </w:r>
      <w:r>
        <w:rPr>
          <w:rFonts w:hint="eastAsia" w:ascii="仿宋_GB2312" w:eastAsia="仿宋_GB2312"/>
          <w:kern w:val="2"/>
          <w:sz w:val="32"/>
          <w:szCs w:val="32"/>
          <w:lang w:val="en-US" w:eastAsia="zh-CN"/>
        </w:rPr>
        <w:t>在职人员工资调增，年中追加工资、津贴补贴、奖金等相关人员经费</w:t>
      </w:r>
      <w:r>
        <w:rPr>
          <w:rFonts w:hint="eastAsia" w:ascii="仿宋_GB2312" w:eastAsia="仿宋_GB2312"/>
          <w:sz w:val="32"/>
          <w:szCs w:val="32"/>
        </w:rPr>
        <w:t>。</w:t>
      </w:r>
    </w:p>
    <w:p w14:paraId="623EEFF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3896FB7">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97.99</w:t>
      </w:r>
      <w:r>
        <w:rPr>
          <w:rFonts w:ascii="仿宋_GB2312" w:eastAsia="仿宋_GB2312"/>
          <w:kern w:val="2"/>
          <w:sz w:val="32"/>
          <w:szCs w:val="32"/>
          <w:lang w:val="zh-CN"/>
        </w:rPr>
        <w:t>万元，占</w:t>
      </w:r>
      <w:r>
        <w:rPr>
          <w:rFonts w:hint="eastAsia" w:ascii="仿宋_GB2312" w:eastAsia="仿宋_GB2312"/>
          <w:kern w:val="2"/>
          <w:sz w:val="32"/>
          <w:szCs w:val="32"/>
          <w:lang w:val="zh-CN"/>
        </w:rPr>
        <w:t>83.08</w:t>
      </w:r>
      <w:r>
        <w:rPr>
          <w:rFonts w:ascii="仿宋_GB2312" w:eastAsia="仿宋_GB2312"/>
          <w:kern w:val="2"/>
          <w:sz w:val="32"/>
          <w:szCs w:val="32"/>
          <w:lang w:val="zh-CN"/>
        </w:rPr>
        <w:t>%；</w:t>
      </w:r>
    </w:p>
    <w:p w14:paraId="6A8F78C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11.45</w:t>
      </w:r>
      <w:r>
        <w:rPr>
          <w:rFonts w:ascii="仿宋_GB2312" w:eastAsia="仿宋_GB2312"/>
          <w:kern w:val="2"/>
          <w:sz w:val="32"/>
          <w:szCs w:val="32"/>
          <w:lang w:val="zh-CN"/>
        </w:rPr>
        <w:t>万元，占</w:t>
      </w:r>
      <w:r>
        <w:rPr>
          <w:rFonts w:hint="eastAsia" w:ascii="仿宋_GB2312" w:eastAsia="仿宋_GB2312"/>
          <w:kern w:val="2"/>
          <w:sz w:val="32"/>
          <w:szCs w:val="32"/>
          <w:lang w:val="zh-CN"/>
        </w:rPr>
        <w:t>9.71</w:t>
      </w:r>
      <w:r>
        <w:rPr>
          <w:rFonts w:ascii="仿宋_GB2312" w:eastAsia="仿宋_GB2312"/>
          <w:kern w:val="2"/>
          <w:sz w:val="32"/>
          <w:szCs w:val="32"/>
          <w:lang w:val="zh-CN"/>
        </w:rPr>
        <w:t>%；</w:t>
      </w:r>
    </w:p>
    <w:p w14:paraId="1D1A289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8.50</w:t>
      </w:r>
      <w:r>
        <w:rPr>
          <w:rFonts w:ascii="仿宋_GB2312" w:eastAsia="仿宋_GB2312"/>
          <w:kern w:val="2"/>
          <w:sz w:val="32"/>
          <w:szCs w:val="32"/>
          <w:lang w:val="zh-CN"/>
        </w:rPr>
        <w:t>万元，占</w:t>
      </w:r>
      <w:r>
        <w:rPr>
          <w:rFonts w:hint="eastAsia" w:ascii="仿宋_GB2312" w:eastAsia="仿宋_GB2312"/>
          <w:kern w:val="2"/>
          <w:sz w:val="32"/>
          <w:szCs w:val="32"/>
          <w:lang w:val="zh-CN"/>
        </w:rPr>
        <w:t>7.21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F93F3B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9F9523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1.住房保障支出（类）住房改革支出（款）住房公积金（项）:支出决算数为8.50万元，比上年决算增加0.56万元，增长7.05%，主要原因是：本年单位</w:t>
      </w:r>
      <w:r>
        <w:rPr>
          <w:rFonts w:hint="eastAsia" w:ascii="仿宋_GB2312" w:eastAsia="仿宋_GB2312"/>
          <w:kern w:val="2"/>
          <w:sz w:val="32"/>
          <w:szCs w:val="32"/>
          <w:lang w:val="en-US" w:eastAsia="zh-CN"/>
        </w:rPr>
        <w:t>在职人员工资</w:t>
      </w:r>
      <w:r>
        <w:rPr>
          <w:rFonts w:hint="eastAsia" w:ascii="仿宋_GB2312" w:eastAsia="仿宋_GB2312"/>
          <w:kern w:val="2"/>
          <w:sz w:val="32"/>
          <w:szCs w:val="32"/>
          <w:lang w:val="zh-CN"/>
        </w:rPr>
        <w:t>调增，相应公积金缴费增加。</w:t>
      </w:r>
    </w:p>
    <w:p w14:paraId="2CD35A8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2.一般公共服务支出（类）党委办公厅（室）及相关机构事务（款）行政运行（项）:支出决算数为94.99万元，比上年决算增加8.63万元，增长9.99%，主要原因是：本年单位</w:t>
      </w:r>
      <w:r>
        <w:rPr>
          <w:rFonts w:hint="eastAsia" w:ascii="仿宋_GB2312" w:eastAsia="仿宋_GB2312"/>
          <w:kern w:val="2"/>
          <w:sz w:val="32"/>
          <w:szCs w:val="32"/>
          <w:lang w:val="en-US" w:eastAsia="zh-CN"/>
        </w:rPr>
        <w:t>在职人员工资调增，工资、津贴补贴、奖金等相关人员经费增加</w:t>
      </w:r>
      <w:r>
        <w:rPr>
          <w:rFonts w:hint="eastAsia" w:ascii="仿宋_GB2312" w:eastAsia="仿宋_GB2312"/>
          <w:kern w:val="2"/>
          <w:sz w:val="32"/>
          <w:szCs w:val="32"/>
          <w:lang w:val="zh-CN"/>
        </w:rPr>
        <w:t>。</w:t>
      </w:r>
    </w:p>
    <w:p w14:paraId="4343B08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w:t>
      </w:r>
      <w:r>
        <w:rPr>
          <w:rFonts w:hint="eastAsia" w:ascii="仿宋_GB2312" w:eastAsia="仿宋_GB2312"/>
          <w:kern w:val="2"/>
          <w:sz w:val="32"/>
          <w:szCs w:val="32"/>
          <w:lang w:val="en-US" w:eastAsia="zh-CN"/>
        </w:rPr>
        <w:t>核算，导致此经费增加</w:t>
      </w:r>
      <w:r>
        <w:rPr>
          <w:rFonts w:hint="eastAsia" w:ascii="仿宋_GB2312" w:eastAsia="仿宋_GB2312"/>
          <w:kern w:val="2"/>
          <w:sz w:val="32"/>
          <w:szCs w:val="32"/>
          <w:lang w:val="zh-CN"/>
        </w:rPr>
        <w:t>。</w:t>
      </w:r>
    </w:p>
    <w:p w14:paraId="16D7DE3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0.69万元，比上年决算增加0.44万元，增长176.00%，主要原因是：本年退休人员增加，退休人员取暖费、交通补助费用增加。</w:t>
      </w:r>
    </w:p>
    <w:p w14:paraId="7274E68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5.社会保障和就业支出（类）行政事业单位养老支出（款）机关事业单位基本养老保险缴费支出（项）:支出决算数为10.76万元，比上年决算增加0.75万元，增长7.49%，主要原因是：本年单位</w:t>
      </w:r>
      <w:r>
        <w:rPr>
          <w:rFonts w:hint="eastAsia" w:ascii="仿宋_GB2312" w:eastAsia="仿宋_GB2312"/>
          <w:kern w:val="2"/>
          <w:sz w:val="32"/>
          <w:szCs w:val="32"/>
          <w:lang w:val="en-US" w:eastAsia="zh-CN"/>
        </w:rPr>
        <w:t>在职人员工资</w:t>
      </w:r>
      <w:r>
        <w:rPr>
          <w:rFonts w:hint="eastAsia" w:ascii="仿宋_GB2312" w:eastAsia="仿宋_GB2312"/>
          <w:kern w:val="2"/>
          <w:sz w:val="32"/>
          <w:szCs w:val="32"/>
          <w:lang w:val="zh-CN"/>
        </w:rPr>
        <w:t>调增，人员养老保险缴费增加。</w:t>
      </w:r>
    </w:p>
    <w:p w14:paraId="09BBCCB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AA3B7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11B7FEAD">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公用经费6.00万元，包括：办公费、水费、电费、邮电费、取暖费、维修（护）费、工会经费、公务用车运行维护费。</w:t>
      </w:r>
    </w:p>
    <w:p w14:paraId="5AB2006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9C622D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“三公”经费支出0.27万元，</w:t>
      </w:r>
      <w:r>
        <w:rPr>
          <w:rFonts w:hint="eastAsia" w:ascii="仿宋_GB2312" w:eastAsia="仿宋_GB2312"/>
          <w:sz w:val="32"/>
          <w:szCs w:val="32"/>
        </w:rPr>
        <w:t>比上年</w:t>
      </w:r>
      <w:r>
        <w:rPr>
          <w:rFonts w:hint="eastAsia" w:ascii="仿宋_GB2312" w:eastAsia="仿宋_GB2312"/>
          <w:sz w:val="32"/>
          <w:szCs w:val="32"/>
          <w:lang w:val="zh-CN"/>
        </w:rPr>
        <w:t>减少0.00万元，</w:t>
      </w:r>
      <w:r>
        <w:rPr>
          <w:rFonts w:hint="eastAsia" w:ascii="仿宋_GB2312" w:eastAsia="仿宋_GB2312"/>
          <w:sz w:val="32"/>
          <w:szCs w:val="32"/>
        </w:rPr>
        <w:t>下降0.00%,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主要原因是：单位本年无此项经费；公务用车购置及运行维护费支出0.27万元，占100.00%，比上年减少0.00万元，</w:t>
      </w:r>
      <w:r>
        <w:rPr>
          <w:rFonts w:hint="eastAsia" w:ascii="仿宋_GB2312" w:eastAsia="仿宋_GB2312"/>
          <w:sz w:val="32"/>
          <w:szCs w:val="32"/>
        </w:rPr>
        <w:t>下降0.00%,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1329CF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DBD99D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DC461B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1E681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2F67C6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50E77C5">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71594F1">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1FF82E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24D5E8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D2FA0D5">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739CBA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F47331D">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2023年度中共木垒哈萨克自治县直属机关工作委员会（行政单位和参照公务员法管理事业单位）机关运行经费支出6.00万元，比上年增加4.48万元，增长294.74%，主要原因是：本年单位办公费、水费、电费增加。</w:t>
      </w:r>
    </w:p>
    <w:p w14:paraId="6980D13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DE6808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5EDC625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47B5E4D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8191D9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36.70万元，房屋45.00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692067F">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B1016A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117.94</w:t>
      </w:r>
      <w:r>
        <w:rPr>
          <w:rFonts w:hint="eastAsia" w:ascii="仿宋_GB2312" w:eastAsia="仿宋_GB2312"/>
          <w:sz w:val="32"/>
          <w:szCs w:val="32"/>
        </w:rPr>
        <w:t>万元，实际执行总额</w:t>
      </w:r>
      <w:r>
        <w:rPr>
          <w:rFonts w:ascii="仿宋_GB2312" w:eastAsia="仿宋_GB2312"/>
          <w:sz w:val="32"/>
          <w:szCs w:val="32"/>
        </w:rPr>
        <w:t>117.94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960"/>
        <w:gridCol w:w="1273"/>
        <w:gridCol w:w="1284"/>
        <w:gridCol w:w="1104"/>
        <w:gridCol w:w="1224"/>
        <w:gridCol w:w="948"/>
        <w:gridCol w:w="996"/>
        <w:gridCol w:w="733"/>
      </w:tblGrid>
      <w:tr w14:paraId="053D7A7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3418FFC">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909E6A2">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28EBD89">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887A278">
        <w:tblPrEx>
          <w:tblCellMar>
            <w:top w:w="0" w:type="dxa"/>
            <w:left w:w="108" w:type="dxa"/>
            <w:bottom w:w="0" w:type="dxa"/>
            <w:right w:w="108" w:type="dxa"/>
          </w:tblCellMar>
        </w:tblPrEx>
        <w:trPr>
          <w:trHeight w:val="660"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E1B671">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562" w:type="dxa"/>
            <w:gridSpan w:val="7"/>
            <w:tcBorders>
              <w:top w:val="single" w:color="auto" w:sz="4" w:space="0"/>
              <w:left w:val="nil"/>
              <w:bottom w:val="single" w:color="auto" w:sz="4" w:space="0"/>
              <w:right w:val="single" w:color="auto" w:sz="4" w:space="0"/>
            </w:tcBorders>
            <w:shd w:val="clear" w:color="auto" w:fill="auto"/>
            <w:noWrap/>
            <w:vAlign w:val="center"/>
          </w:tcPr>
          <w:p w14:paraId="4D2110A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中共木垒哈萨克自治县直属机关工作委员会</w:t>
            </w:r>
          </w:p>
        </w:tc>
      </w:tr>
      <w:tr w14:paraId="1F05EA25">
        <w:tblPrEx>
          <w:tblCellMar>
            <w:top w:w="0" w:type="dxa"/>
            <w:left w:w="108" w:type="dxa"/>
            <w:bottom w:w="0" w:type="dxa"/>
            <w:right w:w="108" w:type="dxa"/>
          </w:tblCellMar>
        </w:tblPrEx>
        <w:trPr>
          <w:trHeight w:val="57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08EFD">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73" w:type="dxa"/>
            <w:tcBorders>
              <w:top w:val="nil"/>
              <w:left w:val="nil"/>
              <w:bottom w:val="single" w:color="auto" w:sz="4" w:space="0"/>
              <w:right w:val="single" w:color="auto" w:sz="4" w:space="0"/>
            </w:tcBorders>
            <w:shd w:val="clear" w:color="auto" w:fill="auto"/>
            <w:vAlign w:val="center"/>
          </w:tcPr>
          <w:p w14:paraId="372A5EFF">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84" w:type="dxa"/>
            <w:tcBorders>
              <w:top w:val="nil"/>
              <w:left w:val="nil"/>
              <w:bottom w:val="single" w:color="auto" w:sz="4" w:space="0"/>
              <w:right w:val="single" w:color="auto" w:sz="4" w:space="0"/>
            </w:tcBorders>
            <w:shd w:val="clear" w:color="auto" w:fill="auto"/>
            <w:vAlign w:val="center"/>
          </w:tcPr>
          <w:p w14:paraId="6F8B235E">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04" w:type="dxa"/>
            <w:tcBorders>
              <w:top w:val="nil"/>
              <w:left w:val="nil"/>
              <w:bottom w:val="single" w:color="auto" w:sz="4" w:space="0"/>
              <w:right w:val="single" w:color="auto" w:sz="4" w:space="0"/>
            </w:tcBorders>
            <w:shd w:val="clear" w:color="auto" w:fill="auto"/>
            <w:vAlign w:val="center"/>
          </w:tcPr>
          <w:p w14:paraId="47D8B8F8">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24" w:type="dxa"/>
            <w:tcBorders>
              <w:top w:val="nil"/>
              <w:left w:val="nil"/>
              <w:bottom w:val="single" w:color="auto" w:sz="4" w:space="0"/>
              <w:right w:val="single" w:color="auto" w:sz="4" w:space="0"/>
            </w:tcBorders>
            <w:shd w:val="clear" w:color="auto" w:fill="auto"/>
            <w:vAlign w:val="center"/>
          </w:tcPr>
          <w:p w14:paraId="603CEA9E">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8" w:type="dxa"/>
            <w:tcBorders>
              <w:top w:val="nil"/>
              <w:left w:val="nil"/>
              <w:bottom w:val="single" w:color="auto" w:sz="4" w:space="0"/>
              <w:right w:val="single" w:color="auto" w:sz="4" w:space="0"/>
            </w:tcBorders>
            <w:shd w:val="clear" w:color="auto" w:fill="auto"/>
            <w:vAlign w:val="center"/>
          </w:tcPr>
          <w:p w14:paraId="1C01982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96" w:type="dxa"/>
            <w:tcBorders>
              <w:top w:val="nil"/>
              <w:left w:val="nil"/>
              <w:bottom w:val="single" w:color="auto" w:sz="4" w:space="0"/>
              <w:right w:val="single" w:color="auto" w:sz="4" w:space="0"/>
            </w:tcBorders>
            <w:shd w:val="clear" w:color="auto" w:fill="auto"/>
            <w:vAlign w:val="center"/>
          </w:tcPr>
          <w:p w14:paraId="0436C11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14:paraId="439AA703">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0FCBC6A">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0F44EEE">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noWrap/>
            <w:vAlign w:val="center"/>
          </w:tcPr>
          <w:p w14:paraId="7784D0DB">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84" w:type="dxa"/>
            <w:tcBorders>
              <w:top w:val="nil"/>
              <w:left w:val="nil"/>
              <w:bottom w:val="single" w:color="auto" w:sz="4" w:space="0"/>
              <w:right w:val="single" w:color="auto" w:sz="4" w:space="0"/>
            </w:tcBorders>
            <w:shd w:val="clear" w:color="auto" w:fill="auto"/>
            <w:vAlign w:val="center"/>
          </w:tcPr>
          <w:p w14:paraId="3D4D5DF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5C19AE1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60392D8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0C95821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96" w:type="dxa"/>
            <w:tcBorders>
              <w:top w:val="nil"/>
              <w:left w:val="nil"/>
              <w:bottom w:val="single" w:color="auto" w:sz="4" w:space="0"/>
              <w:right w:val="single" w:color="auto" w:sz="4" w:space="0"/>
            </w:tcBorders>
            <w:shd w:val="clear" w:color="auto" w:fill="auto"/>
            <w:vAlign w:val="center"/>
          </w:tcPr>
          <w:p w14:paraId="5EABAC14">
            <w:pPr>
              <w:widowControl/>
              <w:jc w:val="center"/>
              <w:rPr>
                <w:rFonts w:hint="eastAsia" w:ascii="宋体" w:hAnsi="宋体" w:cs="宋体"/>
                <w:kern w:val="0"/>
                <w:sz w:val="20"/>
                <w:szCs w:val="20"/>
              </w:rPr>
            </w:pPr>
            <w:r>
              <w:rPr>
                <w:rFonts w:hint="eastAsia" w:ascii="宋体" w:hAnsi="宋体" w:cs="宋体"/>
                <w:kern w:val="0"/>
                <w:sz w:val="20"/>
                <w:szCs w:val="20"/>
              </w:rPr>
              <w:t>102.25%</w:t>
            </w:r>
          </w:p>
        </w:tc>
        <w:tc>
          <w:tcPr>
            <w:tcW w:w="733" w:type="dxa"/>
            <w:tcBorders>
              <w:top w:val="nil"/>
              <w:left w:val="nil"/>
              <w:bottom w:val="single" w:color="auto" w:sz="4" w:space="0"/>
              <w:right w:val="single" w:color="auto" w:sz="4" w:space="0"/>
            </w:tcBorders>
            <w:shd w:val="clear" w:color="auto" w:fill="auto"/>
            <w:vAlign w:val="center"/>
          </w:tcPr>
          <w:p w14:paraId="7AF5564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A2CAFEB">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AD4EC79">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0580C01E">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84" w:type="dxa"/>
            <w:tcBorders>
              <w:top w:val="nil"/>
              <w:left w:val="nil"/>
              <w:bottom w:val="single" w:color="auto" w:sz="4" w:space="0"/>
              <w:right w:val="single" w:color="auto" w:sz="4" w:space="0"/>
            </w:tcBorders>
            <w:shd w:val="clear" w:color="auto" w:fill="auto"/>
            <w:vAlign w:val="center"/>
          </w:tcPr>
          <w:p w14:paraId="3756F09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1D5821A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590FCCD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4E33729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26C09E3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4682922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A274A1">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F657920">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32E4A7A7">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84" w:type="dxa"/>
            <w:tcBorders>
              <w:top w:val="nil"/>
              <w:left w:val="nil"/>
              <w:bottom w:val="single" w:color="auto" w:sz="4" w:space="0"/>
              <w:right w:val="single" w:color="auto" w:sz="4" w:space="0"/>
            </w:tcBorders>
            <w:shd w:val="clear" w:color="auto" w:fill="auto"/>
            <w:vAlign w:val="center"/>
          </w:tcPr>
          <w:p w14:paraId="0900822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738D7C1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15DD5B9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68105B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569E58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13BDE90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8F18BC6">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E614DAF">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65EDFC87">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84" w:type="dxa"/>
            <w:tcBorders>
              <w:top w:val="nil"/>
              <w:left w:val="nil"/>
              <w:bottom w:val="single" w:color="auto" w:sz="4" w:space="0"/>
              <w:right w:val="single" w:color="auto" w:sz="4" w:space="0"/>
            </w:tcBorders>
            <w:shd w:val="clear" w:color="auto" w:fill="auto"/>
            <w:vAlign w:val="center"/>
          </w:tcPr>
          <w:p w14:paraId="75FDAB98">
            <w:pPr>
              <w:widowControl/>
              <w:jc w:val="center"/>
              <w:rPr>
                <w:rFonts w:hint="eastAsia" w:ascii="宋体" w:hAnsi="宋体" w:cs="宋体"/>
                <w:kern w:val="0"/>
                <w:sz w:val="20"/>
                <w:szCs w:val="20"/>
              </w:rPr>
            </w:pPr>
            <w:r>
              <w:rPr>
                <w:rFonts w:hint="eastAsia" w:ascii="宋体" w:hAnsi="宋体" w:cs="宋体"/>
                <w:kern w:val="0"/>
                <w:sz w:val="20"/>
                <w:szCs w:val="20"/>
              </w:rPr>
              <w:t>115.33</w:t>
            </w:r>
          </w:p>
        </w:tc>
        <w:tc>
          <w:tcPr>
            <w:tcW w:w="1104" w:type="dxa"/>
            <w:tcBorders>
              <w:top w:val="nil"/>
              <w:left w:val="nil"/>
              <w:bottom w:val="single" w:color="auto" w:sz="4" w:space="0"/>
              <w:right w:val="single" w:color="auto" w:sz="4" w:space="0"/>
            </w:tcBorders>
            <w:shd w:val="clear" w:color="auto" w:fill="auto"/>
            <w:vAlign w:val="center"/>
          </w:tcPr>
          <w:p w14:paraId="1FACDD48">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1224" w:type="dxa"/>
            <w:tcBorders>
              <w:top w:val="nil"/>
              <w:left w:val="nil"/>
              <w:bottom w:val="single" w:color="auto" w:sz="4" w:space="0"/>
              <w:right w:val="single" w:color="auto" w:sz="4" w:space="0"/>
            </w:tcBorders>
            <w:shd w:val="clear" w:color="auto" w:fill="auto"/>
            <w:vAlign w:val="center"/>
          </w:tcPr>
          <w:p w14:paraId="45B1DEC2">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948" w:type="dxa"/>
            <w:tcBorders>
              <w:top w:val="nil"/>
              <w:left w:val="nil"/>
              <w:bottom w:val="single" w:color="auto" w:sz="4" w:space="0"/>
              <w:right w:val="single" w:color="auto" w:sz="4" w:space="0"/>
            </w:tcBorders>
            <w:shd w:val="clear" w:color="auto" w:fill="auto"/>
            <w:vAlign w:val="center"/>
          </w:tcPr>
          <w:p w14:paraId="53BB9CE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5F7E4CD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0B578E0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F30AC5A">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58BF8DB">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05D6BFCE">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84" w:type="dxa"/>
            <w:tcBorders>
              <w:top w:val="nil"/>
              <w:left w:val="nil"/>
              <w:bottom w:val="single" w:color="auto" w:sz="4" w:space="0"/>
              <w:right w:val="single" w:color="auto" w:sz="4" w:space="0"/>
            </w:tcBorders>
            <w:shd w:val="clear" w:color="auto" w:fill="auto"/>
            <w:vAlign w:val="center"/>
          </w:tcPr>
          <w:p w14:paraId="1A88F7F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139C6B3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72C9B2D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3EDF7D4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1ED537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74ABD5A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B8FC943">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950F18F">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014FADFB">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84" w:type="dxa"/>
            <w:tcBorders>
              <w:top w:val="nil"/>
              <w:left w:val="nil"/>
              <w:bottom w:val="single" w:color="auto" w:sz="4" w:space="0"/>
              <w:right w:val="single" w:color="auto" w:sz="4" w:space="0"/>
            </w:tcBorders>
            <w:shd w:val="clear" w:color="auto" w:fill="auto"/>
            <w:vAlign w:val="center"/>
          </w:tcPr>
          <w:p w14:paraId="68D21E0B">
            <w:pPr>
              <w:widowControl/>
              <w:jc w:val="center"/>
              <w:rPr>
                <w:rFonts w:hint="eastAsia" w:ascii="宋体" w:hAnsi="宋体" w:cs="宋体"/>
                <w:kern w:val="0"/>
                <w:sz w:val="20"/>
                <w:szCs w:val="20"/>
              </w:rPr>
            </w:pPr>
            <w:r>
              <w:rPr>
                <w:rFonts w:hint="eastAsia" w:ascii="宋体" w:hAnsi="宋体" w:cs="宋体"/>
                <w:kern w:val="0"/>
                <w:sz w:val="20"/>
                <w:szCs w:val="20"/>
              </w:rPr>
              <w:t>115.33</w:t>
            </w:r>
          </w:p>
        </w:tc>
        <w:tc>
          <w:tcPr>
            <w:tcW w:w="1104" w:type="dxa"/>
            <w:tcBorders>
              <w:top w:val="nil"/>
              <w:left w:val="nil"/>
              <w:bottom w:val="single" w:color="auto" w:sz="4" w:space="0"/>
              <w:right w:val="single" w:color="auto" w:sz="4" w:space="0"/>
            </w:tcBorders>
            <w:shd w:val="clear" w:color="auto" w:fill="auto"/>
            <w:vAlign w:val="center"/>
          </w:tcPr>
          <w:p w14:paraId="5FD77E1D">
            <w:pPr>
              <w:widowControl/>
              <w:jc w:val="center"/>
              <w:rPr>
                <w:rFonts w:hint="eastAsia" w:ascii="宋体" w:hAnsi="宋体" w:cs="宋体"/>
                <w:kern w:val="0"/>
                <w:sz w:val="20"/>
                <w:szCs w:val="20"/>
              </w:rPr>
            </w:pPr>
            <w:bookmarkStart w:id="30" w:name="_Hlk174752862"/>
            <w:r>
              <w:rPr>
                <w:rFonts w:hint="eastAsia" w:ascii="宋体" w:hAnsi="宋体" w:cs="宋体"/>
                <w:kern w:val="0"/>
                <w:sz w:val="20"/>
                <w:szCs w:val="20"/>
              </w:rPr>
              <w:t>117.94</w:t>
            </w:r>
            <w:bookmarkEnd w:id="30"/>
          </w:p>
        </w:tc>
        <w:tc>
          <w:tcPr>
            <w:tcW w:w="1224" w:type="dxa"/>
            <w:tcBorders>
              <w:top w:val="nil"/>
              <w:left w:val="nil"/>
              <w:bottom w:val="single" w:color="auto" w:sz="4" w:space="0"/>
              <w:right w:val="single" w:color="auto" w:sz="4" w:space="0"/>
            </w:tcBorders>
            <w:shd w:val="clear" w:color="auto" w:fill="auto"/>
            <w:vAlign w:val="center"/>
          </w:tcPr>
          <w:p w14:paraId="690DF5F9">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948" w:type="dxa"/>
            <w:tcBorders>
              <w:top w:val="nil"/>
              <w:left w:val="nil"/>
              <w:bottom w:val="single" w:color="auto" w:sz="4" w:space="0"/>
              <w:right w:val="single" w:color="auto" w:sz="4" w:space="0"/>
            </w:tcBorders>
            <w:shd w:val="clear" w:color="auto" w:fill="auto"/>
            <w:vAlign w:val="center"/>
          </w:tcPr>
          <w:p w14:paraId="57A250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08FE33C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1B140EF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3B51334">
        <w:tblPrEx>
          <w:tblCellMar>
            <w:top w:w="0" w:type="dxa"/>
            <w:left w:w="108" w:type="dxa"/>
            <w:bottom w:w="0" w:type="dxa"/>
            <w:right w:w="108" w:type="dxa"/>
          </w:tblCellMar>
        </w:tblPrEx>
        <w:trPr>
          <w:trHeight w:val="705"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2908E1">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661" w:type="dxa"/>
            <w:gridSpan w:val="3"/>
            <w:tcBorders>
              <w:top w:val="single" w:color="auto" w:sz="4" w:space="0"/>
              <w:left w:val="nil"/>
              <w:bottom w:val="single" w:color="auto" w:sz="4" w:space="0"/>
              <w:right w:val="single" w:color="auto" w:sz="4" w:space="0"/>
            </w:tcBorders>
            <w:shd w:val="clear" w:color="auto" w:fill="auto"/>
            <w:noWrap/>
            <w:vAlign w:val="center"/>
          </w:tcPr>
          <w:p w14:paraId="6F4644D3">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901" w:type="dxa"/>
            <w:gridSpan w:val="4"/>
            <w:tcBorders>
              <w:top w:val="single" w:color="auto" w:sz="4" w:space="0"/>
              <w:left w:val="nil"/>
              <w:bottom w:val="single" w:color="auto" w:sz="4" w:space="0"/>
              <w:right w:val="single" w:color="auto" w:sz="4" w:space="0"/>
            </w:tcBorders>
            <w:shd w:val="clear" w:color="auto" w:fill="auto"/>
            <w:noWrap/>
            <w:vAlign w:val="center"/>
          </w:tcPr>
          <w:p w14:paraId="75CB4F7B">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DDEB9E6">
        <w:tblPrEx>
          <w:tblCellMar>
            <w:top w:w="0" w:type="dxa"/>
            <w:left w:w="108" w:type="dxa"/>
            <w:bottom w:w="0" w:type="dxa"/>
            <w:right w:w="108" w:type="dxa"/>
          </w:tblCellMar>
        </w:tblPrEx>
        <w:trPr>
          <w:trHeight w:val="200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4AE6C90">
            <w:pPr>
              <w:widowControl/>
              <w:jc w:val="left"/>
              <w:rPr>
                <w:rFonts w:hint="eastAsia" w:ascii="宋体" w:hAnsi="宋体" w:cs="宋体"/>
                <w:kern w:val="0"/>
                <w:sz w:val="20"/>
                <w:szCs w:val="20"/>
              </w:rPr>
            </w:pPr>
          </w:p>
        </w:tc>
        <w:tc>
          <w:tcPr>
            <w:tcW w:w="3661" w:type="dxa"/>
            <w:gridSpan w:val="3"/>
            <w:tcBorders>
              <w:top w:val="single" w:color="auto" w:sz="4" w:space="0"/>
              <w:left w:val="nil"/>
              <w:bottom w:val="single" w:color="auto" w:sz="4" w:space="0"/>
              <w:right w:val="single" w:color="auto" w:sz="4" w:space="0"/>
            </w:tcBorders>
            <w:shd w:val="clear" w:color="auto" w:fill="auto"/>
            <w:vAlign w:val="center"/>
          </w:tcPr>
          <w:p w14:paraId="52878C67">
            <w:pPr>
              <w:widowControl/>
              <w:jc w:val="center"/>
              <w:rPr>
                <w:rFonts w:hint="eastAsia" w:ascii="宋体" w:hAnsi="宋体" w:cs="宋体"/>
                <w:kern w:val="0"/>
                <w:sz w:val="20"/>
                <w:szCs w:val="20"/>
              </w:rPr>
            </w:pPr>
            <w:r>
              <w:rPr>
                <w:rFonts w:hint="eastAsia" w:ascii="宋体" w:hAnsi="宋体" w:cs="宋体"/>
                <w:kern w:val="0"/>
                <w:sz w:val="20"/>
                <w:szCs w:val="20"/>
              </w:rPr>
              <w:t>目标1：保障完成全年党的建设工作。</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目标2：结合“五好党支部”创建完成县直机关每季度1次，全年4次党建例会。</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目标3：完成县直各级党组织全年50个预备党员纳新工作。</w:t>
            </w:r>
          </w:p>
        </w:tc>
        <w:tc>
          <w:tcPr>
            <w:tcW w:w="3901" w:type="dxa"/>
            <w:gridSpan w:val="4"/>
            <w:tcBorders>
              <w:top w:val="single" w:color="auto" w:sz="4" w:space="0"/>
              <w:left w:val="nil"/>
              <w:bottom w:val="single" w:color="auto" w:sz="4" w:space="0"/>
              <w:right w:val="single" w:color="auto" w:sz="4" w:space="0"/>
            </w:tcBorders>
            <w:shd w:val="clear" w:color="auto" w:fill="auto"/>
            <w:vAlign w:val="center"/>
          </w:tcPr>
          <w:p w14:paraId="35223F2F">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截至2024</w:t>
            </w:r>
            <w:r>
              <w:rPr>
                <w:rFonts w:hint="eastAsia" w:ascii="宋体" w:hAnsi="宋体" w:cs="宋体"/>
                <w:kern w:val="0"/>
                <w:sz w:val="20"/>
                <w:szCs w:val="20"/>
              </w:rPr>
              <w:t>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14:paraId="12F17BB8">
        <w:tblPrEx>
          <w:tblCellMar>
            <w:top w:w="0" w:type="dxa"/>
            <w:left w:w="108" w:type="dxa"/>
            <w:bottom w:w="0" w:type="dxa"/>
            <w:right w:w="108" w:type="dxa"/>
          </w:tblCellMar>
        </w:tblPrEx>
        <w:trPr>
          <w:trHeight w:val="579"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48EA5DD">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73" w:type="dxa"/>
            <w:tcBorders>
              <w:top w:val="nil"/>
              <w:left w:val="nil"/>
              <w:bottom w:val="single" w:color="auto" w:sz="4" w:space="0"/>
              <w:right w:val="single" w:color="auto" w:sz="4" w:space="0"/>
            </w:tcBorders>
            <w:shd w:val="clear" w:color="auto" w:fill="auto"/>
            <w:vAlign w:val="center"/>
          </w:tcPr>
          <w:p w14:paraId="4F7DEC1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84" w:type="dxa"/>
            <w:tcBorders>
              <w:top w:val="nil"/>
              <w:left w:val="nil"/>
              <w:bottom w:val="single" w:color="auto" w:sz="4" w:space="0"/>
              <w:right w:val="single" w:color="auto" w:sz="4" w:space="0"/>
            </w:tcBorders>
            <w:shd w:val="clear" w:color="auto" w:fill="auto"/>
            <w:vAlign w:val="center"/>
          </w:tcPr>
          <w:p w14:paraId="2CD83D20">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04" w:type="dxa"/>
            <w:tcBorders>
              <w:top w:val="nil"/>
              <w:left w:val="nil"/>
              <w:bottom w:val="single" w:color="auto" w:sz="4" w:space="0"/>
              <w:right w:val="single" w:color="auto" w:sz="4" w:space="0"/>
            </w:tcBorders>
            <w:shd w:val="clear" w:color="auto" w:fill="auto"/>
            <w:vAlign w:val="center"/>
          </w:tcPr>
          <w:p w14:paraId="7EADC29F">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24" w:type="dxa"/>
            <w:tcBorders>
              <w:top w:val="nil"/>
              <w:left w:val="nil"/>
              <w:bottom w:val="single" w:color="auto" w:sz="4" w:space="0"/>
              <w:right w:val="single" w:color="auto" w:sz="4" w:space="0"/>
            </w:tcBorders>
            <w:shd w:val="clear" w:color="auto" w:fill="auto"/>
            <w:vAlign w:val="center"/>
          </w:tcPr>
          <w:p w14:paraId="6B105155">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8" w:type="dxa"/>
            <w:tcBorders>
              <w:top w:val="nil"/>
              <w:left w:val="nil"/>
              <w:bottom w:val="single" w:color="auto" w:sz="4" w:space="0"/>
              <w:right w:val="single" w:color="auto" w:sz="4" w:space="0"/>
            </w:tcBorders>
            <w:shd w:val="clear" w:color="auto" w:fill="auto"/>
            <w:vAlign w:val="center"/>
          </w:tcPr>
          <w:p w14:paraId="6C0D2895">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96" w:type="dxa"/>
            <w:tcBorders>
              <w:top w:val="nil"/>
              <w:left w:val="nil"/>
              <w:bottom w:val="single" w:color="auto" w:sz="4" w:space="0"/>
              <w:right w:val="single" w:color="auto" w:sz="4" w:space="0"/>
            </w:tcBorders>
            <w:shd w:val="clear" w:color="auto" w:fill="auto"/>
            <w:vAlign w:val="center"/>
          </w:tcPr>
          <w:p w14:paraId="4FDABBF6">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33" w:type="dxa"/>
            <w:tcBorders>
              <w:top w:val="nil"/>
              <w:left w:val="nil"/>
              <w:bottom w:val="single" w:color="auto" w:sz="4" w:space="0"/>
              <w:right w:val="single" w:color="auto" w:sz="4" w:space="0"/>
            </w:tcBorders>
            <w:shd w:val="clear" w:color="auto" w:fill="auto"/>
            <w:vAlign w:val="center"/>
          </w:tcPr>
          <w:p w14:paraId="1569B27F">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D19CA96">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24038E">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73" w:type="dxa"/>
            <w:vMerge w:val="restart"/>
            <w:tcBorders>
              <w:top w:val="nil"/>
              <w:left w:val="single" w:color="auto" w:sz="4" w:space="0"/>
              <w:bottom w:val="single" w:color="auto" w:sz="4" w:space="0"/>
              <w:right w:val="single" w:color="auto" w:sz="4" w:space="0"/>
            </w:tcBorders>
            <w:shd w:val="clear" w:color="auto" w:fill="auto"/>
            <w:vAlign w:val="center"/>
          </w:tcPr>
          <w:p w14:paraId="61A943E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84" w:type="dxa"/>
            <w:tcBorders>
              <w:top w:val="nil"/>
              <w:left w:val="nil"/>
              <w:bottom w:val="single" w:color="auto" w:sz="4" w:space="0"/>
              <w:right w:val="single" w:color="auto" w:sz="4" w:space="0"/>
            </w:tcBorders>
            <w:shd w:val="clear" w:color="auto" w:fill="auto"/>
            <w:vAlign w:val="center"/>
          </w:tcPr>
          <w:p w14:paraId="359E4B7C">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104" w:type="dxa"/>
            <w:tcBorders>
              <w:top w:val="nil"/>
              <w:left w:val="nil"/>
              <w:bottom w:val="single" w:color="auto" w:sz="4" w:space="0"/>
              <w:right w:val="single" w:color="auto" w:sz="4" w:space="0"/>
            </w:tcBorders>
            <w:shd w:val="clear" w:color="auto" w:fill="auto"/>
            <w:vAlign w:val="center"/>
          </w:tcPr>
          <w:p w14:paraId="14C29CBB">
            <w:pPr>
              <w:widowControl/>
              <w:jc w:val="center"/>
              <w:rPr>
                <w:rFonts w:hint="eastAsia" w:ascii="宋体" w:hAnsi="宋体" w:cs="宋体"/>
                <w:kern w:val="0"/>
                <w:sz w:val="20"/>
                <w:szCs w:val="20"/>
              </w:rPr>
            </w:pPr>
            <w:r>
              <w:rPr>
                <w:rFonts w:hint="eastAsia" w:ascii="宋体" w:hAnsi="宋体" w:cs="宋体"/>
                <w:kern w:val="0"/>
                <w:sz w:val="20"/>
                <w:szCs w:val="20"/>
              </w:rPr>
              <w:t>&gt;=7人</w:t>
            </w:r>
          </w:p>
        </w:tc>
        <w:tc>
          <w:tcPr>
            <w:tcW w:w="1224" w:type="dxa"/>
            <w:tcBorders>
              <w:top w:val="nil"/>
              <w:left w:val="nil"/>
              <w:bottom w:val="single" w:color="auto" w:sz="4" w:space="0"/>
              <w:right w:val="single" w:color="auto" w:sz="4" w:space="0"/>
            </w:tcBorders>
            <w:shd w:val="clear" w:color="auto" w:fill="auto"/>
            <w:vAlign w:val="center"/>
          </w:tcPr>
          <w:p w14:paraId="09036CC2">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委员会直属机关工作委员会职能配置、内设机构和人员编制规定</w:t>
            </w:r>
          </w:p>
        </w:tc>
        <w:tc>
          <w:tcPr>
            <w:tcW w:w="948" w:type="dxa"/>
            <w:tcBorders>
              <w:top w:val="nil"/>
              <w:left w:val="nil"/>
              <w:bottom w:val="single" w:color="auto" w:sz="4" w:space="0"/>
              <w:right w:val="single" w:color="auto" w:sz="4" w:space="0"/>
            </w:tcBorders>
            <w:shd w:val="clear" w:color="auto" w:fill="auto"/>
            <w:vAlign w:val="center"/>
          </w:tcPr>
          <w:p w14:paraId="636FF22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96" w:type="dxa"/>
            <w:tcBorders>
              <w:top w:val="nil"/>
              <w:left w:val="nil"/>
              <w:bottom w:val="single" w:color="auto" w:sz="4" w:space="0"/>
              <w:right w:val="single" w:color="auto" w:sz="4" w:space="0"/>
            </w:tcBorders>
            <w:shd w:val="clear" w:color="auto" w:fill="auto"/>
            <w:vAlign w:val="center"/>
          </w:tcPr>
          <w:p w14:paraId="58A93A99">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733" w:type="dxa"/>
            <w:tcBorders>
              <w:top w:val="nil"/>
              <w:left w:val="nil"/>
              <w:bottom w:val="single" w:color="auto" w:sz="4" w:space="0"/>
              <w:right w:val="single" w:color="auto" w:sz="4" w:space="0"/>
            </w:tcBorders>
            <w:shd w:val="clear" w:color="auto" w:fill="auto"/>
            <w:vAlign w:val="center"/>
          </w:tcPr>
          <w:p w14:paraId="6F39F285">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A8B57AC">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17D901F">
            <w:pPr>
              <w:widowControl/>
              <w:jc w:val="left"/>
              <w:rPr>
                <w:rFonts w:hint="eastAsia" w:ascii="宋体" w:hAnsi="宋体" w:cs="宋体"/>
                <w:kern w:val="0"/>
                <w:sz w:val="20"/>
                <w:szCs w:val="20"/>
              </w:rPr>
            </w:pPr>
          </w:p>
        </w:tc>
        <w:tc>
          <w:tcPr>
            <w:tcW w:w="1273" w:type="dxa"/>
            <w:vMerge w:val="continue"/>
            <w:tcBorders>
              <w:top w:val="nil"/>
              <w:left w:val="single" w:color="auto" w:sz="4" w:space="0"/>
              <w:bottom w:val="single" w:color="auto" w:sz="4" w:space="0"/>
              <w:right w:val="single" w:color="auto" w:sz="4" w:space="0"/>
            </w:tcBorders>
            <w:vAlign w:val="center"/>
          </w:tcPr>
          <w:p w14:paraId="490EAE82">
            <w:pPr>
              <w:widowControl/>
              <w:jc w:val="left"/>
              <w:rPr>
                <w:rFonts w:hint="eastAsia"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53498260">
            <w:pPr>
              <w:widowControl/>
              <w:jc w:val="center"/>
              <w:rPr>
                <w:rFonts w:hint="eastAsia" w:ascii="宋体" w:hAnsi="宋体" w:cs="宋体"/>
                <w:kern w:val="0"/>
                <w:sz w:val="20"/>
                <w:szCs w:val="20"/>
              </w:rPr>
            </w:pPr>
            <w:r>
              <w:rPr>
                <w:rFonts w:hint="eastAsia" w:ascii="宋体" w:hAnsi="宋体" w:cs="宋体"/>
                <w:kern w:val="0"/>
                <w:sz w:val="20"/>
                <w:szCs w:val="20"/>
              </w:rPr>
              <w:t>公务用车保障数量</w:t>
            </w:r>
          </w:p>
        </w:tc>
        <w:tc>
          <w:tcPr>
            <w:tcW w:w="1104" w:type="dxa"/>
            <w:tcBorders>
              <w:top w:val="nil"/>
              <w:left w:val="nil"/>
              <w:bottom w:val="single" w:color="auto" w:sz="4" w:space="0"/>
              <w:right w:val="single" w:color="auto" w:sz="4" w:space="0"/>
            </w:tcBorders>
            <w:shd w:val="clear" w:color="auto" w:fill="auto"/>
            <w:vAlign w:val="center"/>
          </w:tcPr>
          <w:p w14:paraId="461B7750">
            <w:pPr>
              <w:widowControl/>
              <w:jc w:val="center"/>
              <w:rPr>
                <w:rFonts w:hint="eastAsia" w:ascii="宋体" w:hAnsi="宋体" w:cs="宋体"/>
                <w:kern w:val="0"/>
                <w:sz w:val="20"/>
                <w:szCs w:val="20"/>
              </w:rPr>
            </w:pPr>
            <w:bookmarkStart w:id="49" w:name="_GoBack"/>
            <w:r>
              <w:rPr>
                <w:rFonts w:hint="eastAsia" w:ascii="宋体" w:hAnsi="宋体" w:cs="宋体"/>
                <w:kern w:val="0"/>
                <w:sz w:val="20"/>
                <w:szCs w:val="20"/>
              </w:rPr>
              <w:t>&gt;</w:t>
            </w:r>
            <w:bookmarkEnd w:id="49"/>
            <w:r>
              <w:rPr>
                <w:rFonts w:hint="eastAsia" w:ascii="宋体" w:hAnsi="宋体" w:cs="宋体"/>
                <w:kern w:val="0"/>
                <w:sz w:val="20"/>
                <w:szCs w:val="20"/>
              </w:rPr>
              <w:t>=1辆</w:t>
            </w:r>
          </w:p>
        </w:tc>
        <w:tc>
          <w:tcPr>
            <w:tcW w:w="1224" w:type="dxa"/>
            <w:tcBorders>
              <w:top w:val="nil"/>
              <w:left w:val="nil"/>
              <w:bottom w:val="single" w:color="auto" w:sz="4" w:space="0"/>
              <w:right w:val="single" w:color="auto" w:sz="4" w:space="0"/>
            </w:tcBorders>
            <w:shd w:val="clear" w:color="auto" w:fill="auto"/>
            <w:vAlign w:val="center"/>
          </w:tcPr>
          <w:p w14:paraId="26BD1B1F">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木垒哈萨克自治县委员会直属机关工作委员会职能配置、内设机构和人员编制规定</w:t>
            </w:r>
          </w:p>
        </w:tc>
        <w:tc>
          <w:tcPr>
            <w:tcW w:w="948" w:type="dxa"/>
            <w:tcBorders>
              <w:top w:val="nil"/>
              <w:left w:val="nil"/>
              <w:bottom w:val="single" w:color="auto" w:sz="4" w:space="0"/>
              <w:right w:val="single" w:color="auto" w:sz="4" w:space="0"/>
            </w:tcBorders>
            <w:shd w:val="clear" w:color="auto" w:fill="auto"/>
            <w:vAlign w:val="center"/>
          </w:tcPr>
          <w:p w14:paraId="3FC62CA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96" w:type="dxa"/>
            <w:tcBorders>
              <w:top w:val="nil"/>
              <w:left w:val="nil"/>
              <w:bottom w:val="single" w:color="auto" w:sz="4" w:space="0"/>
              <w:right w:val="single" w:color="auto" w:sz="4" w:space="0"/>
            </w:tcBorders>
            <w:shd w:val="clear" w:color="auto" w:fill="auto"/>
            <w:vAlign w:val="center"/>
          </w:tcPr>
          <w:p w14:paraId="30AD06CC">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33" w:type="dxa"/>
            <w:tcBorders>
              <w:top w:val="nil"/>
              <w:left w:val="nil"/>
              <w:bottom w:val="single" w:color="auto" w:sz="4" w:space="0"/>
              <w:right w:val="single" w:color="auto" w:sz="4" w:space="0"/>
            </w:tcBorders>
            <w:shd w:val="clear" w:color="auto" w:fill="auto"/>
            <w:vAlign w:val="center"/>
          </w:tcPr>
          <w:p w14:paraId="78EA960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C91CFC7">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AF5181">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73" w:type="dxa"/>
            <w:vMerge w:val="continue"/>
            <w:tcBorders>
              <w:top w:val="nil"/>
              <w:left w:val="single" w:color="auto" w:sz="4" w:space="0"/>
              <w:bottom w:val="single" w:color="auto" w:sz="4" w:space="0"/>
              <w:right w:val="single" w:color="auto" w:sz="4" w:space="0"/>
            </w:tcBorders>
            <w:vAlign w:val="center"/>
          </w:tcPr>
          <w:p w14:paraId="16D68A8C">
            <w:pPr>
              <w:widowControl/>
              <w:jc w:val="left"/>
              <w:rPr>
                <w:rFonts w:hint="eastAsia"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3F8DD7AE">
            <w:pPr>
              <w:widowControl/>
              <w:jc w:val="center"/>
              <w:rPr>
                <w:rFonts w:hint="eastAsia" w:ascii="宋体" w:hAnsi="宋体" w:cs="宋体"/>
                <w:kern w:val="0"/>
                <w:sz w:val="20"/>
                <w:szCs w:val="20"/>
              </w:rPr>
            </w:pPr>
            <w:r>
              <w:rPr>
                <w:rFonts w:hint="eastAsia" w:ascii="宋体" w:hAnsi="宋体" w:cs="宋体"/>
                <w:kern w:val="0"/>
                <w:sz w:val="20"/>
                <w:szCs w:val="20"/>
              </w:rPr>
              <w:t>党建例会次数</w:t>
            </w:r>
          </w:p>
        </w:tc>
        <w:tc>
          <w:tcPr>
            <w:tcW w:w="1104" w:type="dxa"/>
            <w:tcBorders>
              <w:top w:val="nil"/>
              <w:left w:val="nil"/>
              <w:bottom w:val="single" w:color="auto" w:sz="4" w:space="0"/>
              <w:right w:val="single" w:color="auto" w:sz="4" w:space="0"/>
            </w:tcBorders>
            <w:shd w:val="clear" w:color="auto" w:fill="auto"/>
            <w:vAlign w:val="center"/>
          </w:tcPr>
          <w:p w14:paraId="3F97F83E">
            <w:pPr>
              <w:widowControl/>
              <w:jc w:val="center"/>
              <w:rPr>
                <w:rFonts w:hint="eastAsia" w:ascii="宋体" w:hAnsi="宋体" w:cs="宋体"/>
                <w:kern w:val="0"/>
                <w:sz w:val="20"/>
                <w:szCs w:val="20"/>
              </w:rPr>
            </w:pPr>
            <w:r>
              <w:rPr>
                <w:rFonts w:hint="eastAsia" w:ascii="宋体" w:hAnsi="宋体" w:cs="宋体"/>
                <w:kern w:val="0"/>
                <w:sz w:val="20"/>
                <w:szCs w:val="20"/>
              </w:rPr>
              <w:t>&gt;=4期</w:t>
            </w:r>
          </w:p>
        </w:tc>
        <w:tc>
          <w:tcPr>
            <w:tcW w:w="1224" w:type="dxa"/>
            <w:tcBorders>
              <w:top w:val="nil"/>
              <w:left w:val="nil"/>
              <w:bottom w:val="single" w:color="auto" w:sz="4" w:space="0"/>
              <w:right w:val="single" w:color="auto" w:sz="4" w:space="0"/>
            </w:tcBorders>
            <w:shd w:val="clear" w:color="auto" w:fill="auto"/>
            <w:vAlign w:val="center"/>
          </w:tcPr>
          <w:p w14:paraId="441B27AF">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vAlign w:val="center"/>
          </w:tcPr>
          <w:p w14:paraId="60CE3126">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996" w:type="dxa"/>
            <w:tcBorders>
              <w:top w:val="nil"/>
              <w:left w:val="nil"/>
              <w:bottom w:val="single" w:color="auto" w:sz="4" w:space="0"/>
              <w:right w:val="single" w:color="auto" w:sz="4" w:space="0"/>
            </w:tcBorders>
            <w:shd w:val="clear" w:color="auto" w:fill="auto"/>
            <w:vAlign w:val="center"/>
          </w:tcPr>
          <w:p w14:paraId="61407112">
            <w:pPr>
              <w:widowControl/>
              <w:jc w:val="center"/>
              <w:rPr>
                <w:rFonts w:hint="eastAsia" w:ascii="宋体" w:hAnsi="宋体" w:cs="宋体"/>
                <w:kern w:val="0"/>
                <w:sz w:val="20"/>
                <w:szCs w:val="20"/>
              </w:rPr>
            </w:pPr>
            <w:r>
              <w:rPr>
                <w:rFonts w:hint="eastAsia" w:ascii="宋体" w:hAnsi="宋体" w:cs="宋体"/>
                <w:kern w:val="0"/>
                <w:sz w:val="20"/>
                <w:szCs w:val="20"/>
              </w:rPr>
              <w:t>4期</w:t>
            </w:r>
          </w:p>
        </w:tc>
        <w:tc>
          <w:tcPr>
            <w:tcW w:w="733" w:type="dxa"/>
            <w:tcBorders>
              <w:top w:val="nil"/>
              <w:left w:val="nil"/>
              <w:bottom w:val="single" w:color="auto" w:sz="4" w:space="0"/>
              <w:right w:val="single" w:color="auto" w:sz="4" w:space="0"/>
            </w:tcBorders>
            <w:shd w:val="clear" w:color="auto" w:fill="auto"/>
            <w:vAlign w:val="center"/>
          </w:tcPr>
          <w:p w14:paraId="003E9975">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700D46DE">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0DD00EE">
            <w:pPr>
              <w:widowControl/>
              <w:jc w:val="left"/>
              <w:rPr>
                <w:rFonts w:hint="eastAsia"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3979611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84" w:type="dxa"/>
            <w:tcBorders>
              <w:top w:val="nil"/>
              <w:left w:val="nil"/>
              <w:bottom w:val="single" w:color="auto" w:sz="4" w:space="0"/>
              <w:right w:val="single" w:color="auto" w:sz="4" w:space="0"/>
            </w:tcBorders>
            <w:shd w:val="clear" w:color="auto" w:fill="auto"/>
            <w:vAlign w:val="center"/>
          </w:tcPr>
          <w:p w14:paraId="008E4C6F">
            <w:pPr>
              <w:widowControl/>
              <w:jc w:val="center"/>
              <w:rPr>
                <w:rFonts w:hint="eastAsia" w:ascii="宋体" w:hAnsi="宋体" w:cs="宋体"/>
                <w:kern w:val="0"/>
                <w:sz w:val="20"/>
                <w:szCs w:val="20"/>
              </w:rPr>
            </w:pPr>
            <w:r>
              <w:rPr>
                <w:rFonts w:hint="eastAsia" w:ascii="宋体" w:hAnsi="宋体" w:cs="宋体"/>
                <w:kern w:val="0"/>
                <w:sz w:val="20"/>
                <w:szCs w:val="20"/>
              </w:rPr>
              <w:t>党建例会参与率</w:t>
            </w:r>
          </w:p>
        </w:tc>
        <w:tc>
          <w:tcPr>
            <w:tcW w:w="1104" w:type="dxa"/>
            <w:tcBorders>
              <w:top w:val="nil"/>
              <w:left w:val="nil"/>
              <w:bottom w:val="single" w:color="auto" w:sz="4" w:space="0"/>
              <w:right w:val="single" w:color="auto" w:sz="4" w:space="0"/>
            </w:tcBorders>
            <w:shd w:val="clear" w:color="auto" w:fill="auto"/>
            <w:vAlign w:val="center"/>
          </w:tcPr>
          <w:p w14:paraId="6E16E92E">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vAlign w:val="center"/>
          </w:tcPr>
          <w:p w14:paraId="7FFC8604">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vAlign w:val="center"/>
          </w:tcPr>
          <w:p w14:paraId="15AE3A05">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vAlign w:val="center"/>
          </w:tcPr>
          <w:p w14:paraId="57F4A150">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vAlign w:val="center"/>
          </w:tcPr>
          <w:p w14:paraId="5EDD6F8C">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65599EB1">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6499E6">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73" w:type="dxa"/>
            <w:vMerge w:val="restart"/>
            <w:tcBorders>
              <w:top w:val="nil"/>
              <w:left w:val="single" w:color="auto" w:sz="4" w:space="0"/>
              <w:bottom w:val="single" w:color="auto" w:sz="4" w:space="0"/>
              <w:right w:val="single" w:color="auto" w:sz="4" w:space="0"/>
            </w:tcBorders>
            <w:shd w:val="clear" w:color="auto" w:fill="auto"/>
            <w:vAlign w:val="center"/>
          </w:tcPr>
          <w:p w14:paraId="5670F21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84" w:type="dxa"/>
            <w:tcBorders>
              <w:top w:val="nil"/>
              <w:left w:val="nil"/>
              <w:bottom w:val="single" w:color="auto" w:sz="4" w:space="0"/>
              <w:right w:val="single" w:color="auto" w:sz="4" w:space="0"/>
            </w:tcBorders>
            <w:shd w:val="clear" w:color="auto" w:fill="auto"/>
            <w:vAlign w:val="center"/>
          </w:tcPr>
          <w:p w14:paraId="4603EE30">
            <w:pPr>
              <w:widowControl/>
              <w:jc w:val="center"/>
              <w:rPr>
                <w:rFonts w:hint="eastAsia" w:ascii="宋体" w:hAnsi="宋体" w:cs="宋体"/>
                <w:kern w:val="0"/>
                <w:sz w:val="20"/>
                <w:szCs w:val="20"/>
              </w:rPr>
            </w:pPr>
            <w:r>
              <w:rPr>
                <w:rFonts w:hint="eastAsia" w:ascii="宋体" w:hAnsi="宋体" w:cs="宋体"/>
                <w:kern w:val="0"/>
                <w:sz w:val="20"/>
                <w:szCs w:val="20"/>
              </w:rPr>
              <w:t>党员发展数量</w:t>
            </w:r>
          </w:p>
        </w:tc>
        <w:tc>
          <w:tcPr>
            <w:tcW w:w="1104" w:type="dxa"/>
            <w:tcBorders>
              <w:top w:val="nil"/>
              <w:left w:val="nil"/>
              <w:bottom w:val="single" w:color="auto" w:sz="4" w:space="0"/>
              <w:right w:val="single" w:color="auto" w:sz="4" w:space="0"/>
            </w:tcBorders>
            <w:shd w:val="clear" w:color="auto" w:fill="auto"/>
            <w:vAlign w:val="center"/>
          </w:tcPr>
          <w:p w14:paraId="1FD58A1F">
            <w:pPr>
              <w:widowControl/>
              <w:jc w:val="center"/>
              <w:rPr>
                <w:rFonts w:hint="eastAsia" w:ascii="宋体" w:hAnsi="宋体" w:cs="宋体"/>
                <w:kern w:val="0"/>
                <w:sz w:val="20"/>
                <w:szCs w:val="20"/>
              </w:rPr>
            </w:pPr>
            <w:r>
              <w:rPr>
                <w:rFonts w:hint="eastAsia" w:ascii="宋体" w:hAnsi="宋体" w:cs="宋体"/>
                <w:kern w:val="0"/>
                <w:sz w:val="20"/>
                <w:szCs w:val="20"/>
              </w:rPr>
              <w:t>&gt;=50人</w:t>
            </w:r>
          </w:p>
        </w:tc>
        <w:tc>
          <w:tcPr>
            <w:tcW w:w="1224" w:type="dxa"/>
            <w:tcBorders>
              <w:top w:val="nil"/>
              <w:left w:val="nil"/>
              <w:bottom w:val="single" w:color="auto" w:sz="4" w:space="0"/>
              <w:right w:val="single" w:color="auto" w:sz="4" w:space="0"/>
            </w:tcBorders>
            <w:shd w:val="clear" w:color="auto" w:fill="auto"/>
            <w:vAlign w:val="center"/>
          </w:tcPr>
          <w:p w14:paraId="5E208334">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vAlign w:val="center"/>
          </w:tcPr>
          <w:p w14:paraId="205647B8">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96" w:type="dxa"/>
            <w:tcBorders>
              <w:top w:val="nil"/>
              <w:left w:val="nil"/>
              <w:bottom w:val="single" w:color="auto" w:sz="4" w:space="0"/>
              <w:right w:val="single" w:color="auto" w:sz="4" w:space="0"/>
            </w:tcBorders>
            <w:shd w:val="clear" w:color="auto" w:fill="auto"/>
            <w:vAlign w:val="center"/>
          </w:tcPr>
          <w:p w14:paraId="290A31EA">
            <w:pPr>
              <w:widowControl/>
              <w:jc w:val="center"/>
              <w:rPr>
                <w:rFonts w:hint="eastAsia" w:ascii="宋体" w:hAnsi="宋体" w:cs="宋体"/>
                <w:kern w:val="0"/>
                <w:sz w:val="20"/>
                <w:szCs w:val="20"/>
              </w:rPr>
            </w:pPr>
            <w:r>
              <w:rPr>
                <w:rFonts w:hint="eastAsia" w:ascii="宋体" w:hAnsi="宋体" w:cs="宋体"/>
                <w:kern w:val="0"/>
                <w:sz w:val="20"/>
                <w:szCs w:val="20"/>
              </w:rPr>
              <w:t>50人</w:t>
            </w:r>
          </w:p>
        </w:tc>
        <w:tc>
          <w:tcPr>
            <w:tcW w:w="733" w:type="dxa"/>
            <w:tcBorders>
              <w:top w:val="nil"/>
              <w:left w:val="nil"/>
              <w:bottom w:val="single" w:color="auto" w:sz="4" w:space="0"/>
              <w:right w:val="single" w:color="auto" w:sz="4" w:space="0"/>
            </w:tcBorders>
            <w:shd w:val="clear" w:color="auto" w:fill="auto"/>
            <w:vAlign w:val="center"/>
          </w:tcPr>
          <w:p w14:paraId="0729B035">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80B7A1F">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A29EA68">
            <w:pPr>
              <w:widowControl/>
              <w:jc w:val="left"/>
              <w:rPr>
                <w:rFonts w:hint="eastAsia" w:ascii="宋体" w:hAnsi="宋体" w:cs="宋体"/>
                <w:kern w:val="0"/>
                <w:sz w:val="20"/>
                <w:szCs w:val="20"/>
              </w:rPr>
            </w:pPr>
          </w:p>
        </w:tc>
        <w:tc>
          <w:tcPr>
            <w:tcW w:w="1273" w:type="dxa"/>
            <w:vMerge w:val="continue"/>
            <w:tcBorders>
              <w:top w:val="nil"/>
              <w:left w:val="single" w:color="auto" w:sz="4" w:space="0"/>
              <w:bottom w:val="single" w:color="auto" w:sz="4" w:space="0"/>
              <w:right w:val="single" w:color="auto" w:sz="4" w:space="0"/>
            </w:tcBorders>
            <w:vAlign w:val="center"/>
          </w:tcPr>
          <w:p w14:paraId="75126627">
            <w:pPr>
              <w:widowControl/>
              <w:jc w:val="left"/>
              <w:rPr>
                <w:rFonts w:hint="eastAsia"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5DE5E638">
            <w:pPr>
              <w:widowControl/>
              <w:jc w:val="center"/>
              <w:rPr>
                <w:rFonts w:hint="eastAsia" w:ascii="宋体" w:hAnsi="宋体" w:cs="宋体"/>
                <w:kern w:val="0"/>
                <w:sz w:val="20"/>
                <w:szCs w:val="20"/>
              </w:rPr>
            </w:pPr>
            <w:r>
              <w:rPr>
                <w:rFonts w:hint="eastAsia" w:ascii="宋体" w:hAnsi="宋体" w:cs="宋体"/>
                <w:kern w:val="0"/>
                <w:sz w:val="20"/>
                <w:szCs w:val="20"/>
              </w:rPr>
              <w:t>党员教育培训数量</w:t>
            </w:r>
          </w:p>
        </w:tc>
        <w:tc>
          <w:tcPr>
            <w:tcW w:w="1104" w:type="dxa"/>
            <w:tcBorders>
              <w:top w:val="nil"/>
              <w:left w:val="nil"/>
              <w:bottom w:val="single" w:color="auto" w:sz="4" w:space="0"/>
              <w:right w:val="single" w:color="auto" w:sz="4" w:space="0"/>
            </w:tcBorders>
            <w:shd w:val="clear" w:color="auto" w:fill="auto"/>
            <w:vAlign w:val="center"/>
          </w:tcPr>
          <w:p w14:paraId="57BDDC84">
            <w:pPr>
              <w:widowControl/>
              <w:jc w:val="center"/>
              <w:rPr>
                <w:rFonts w:hint="eastAsia" w:ascii="宋体" w:hAnsi="宋体" w:cs="宋体"/>
                <w:kern w:val="0"/>
                <w:sz w:val="20"/>
                <w:szCs w:val="20"/>
              </w:rPr>
            </w:pPr>
            <w:r>
              <w:rPr>
                <w:rFonts w:hint="eastAsia" w:ascii="宋体" w:hAnsi="宋体" w:cs="宋体"/>
                <w:kern w:val="0"/>
                <w:sz w:val="20"/>
                <w:szCs w:val="20"/>
              </w:rPr>
              <w:t>&gt;=2期</w:t>
            </w:r>
          </w:p>
        </w:tc>
        <w:tc>
          <w:tcPr>
            <w:tcW w:w="1224" w:type="dxa"/>
            <w:tcBorders>
              <w:top w:val="nil"/>
              <w:left w:val="nil"/>
              <w:bottom w:val="single" w:color="auto" w:sz="4" w:space="0"/>
              <w:right w:val="single" w:color="auto" w:sz="4" w:space="0"/>
            </w:tcBorders>
            <w:shd w:val="clear" w:color="auto" w:fill="auto"/>
            <w:vAlign w:val="center"/>
          </w:tcPr>
          <w:p w14:paraId="29C19C8E">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vAlign w:val="center"/>
          </w:tcPr>
          <w:p w14:paraId="039FBCF2">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vAlign w:val="center"/>
          </w:tcPr>
          <w:p w14:paraId="22203CB9">
            <w:pPr>
              <w:widowControl/>
              <w:jc w:val="center"/>
              <w:rPr>
                <w:rFonts w:hint="eastAsia" w:ascii="宋体" w:hAnsi="宋体" w:cs="宋体"/>
                <w:kern w:val="0"/>
                <w:sz w:val="20"/>
                <w:szCs w:val="20"/>
              </w:rPr>
            </w:pPr>
            <w:r>
              <w:rPr>
                <w:rFonts w:hint="eastAsia" w:ascii="宋体" w:hAnsi="宋体" w:cs="宋体"/>
                <w:kern w:val="0"/>
                <w:sz w:val="20"/>
                <w:szCs w:val="20"/>
              </w:rPr>
              <w:t>2期</w:t>
            </w:r>
          </w:p>
        </w:tc>
        <w:tc>
          <w:tcPr>
            <w:tcW w:w="733" w:type="dxa"/>
            <w:tcBorders>
              <w:top w:val="nil"/>
              <w:left w:val="nil"/>
              <w:bottom w:val="single" w:color="auto" w:sz="4" w:space="0"/>
              <w:right w:val="single" w:color="auto" w:sz="4" w:space="0"/>
            </w:tcBorders>
            <w:shd w:val="clear" w:color="auto" w:fill="auto"/>
            <w:vAlign w:val="center"/>
          </w:tcPr>
          <w:p w14:paraId="49C65082">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396F3791">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B58CA82">
            <w:pPr>
              <w:widowControl/>
              <w:jc w:val="left"/>
              <w:rPr>
                <w:rFonts w:hint="eastAsia" w:ascii="宋体" w:hAnsi="宋体" w:cs="宋体"/>
                <w:kern w:val="0"/>
                <w:sz w:val="20"/>
                <w:szCs w:val="20"/>
              </w:rPr>
            </w:pPr>
          </w:p>
        </w:tc>
        <w:tc>
          <w:tcPr>
            <w:tcW w:w="1273" w:type="dxa"/>
            <w:vMerge w:val="restart"/>
            <w:tcBorders>
              <w:top w:val="nil"/>
              <w:left w:val="single" w:color="auto" w:sz="4" w:space="0"/>
              <w:bottom w:val="single" w:color="auto" w:sz="4" w:space="0"/>
              <w:right w:val="single" w:color="auto" w:sz="4" w:space="0"/>
            </w:tcBorders>
            <w:shd w:val="clear" w:color="auto" w:fill="auto"/>
            <w:noWrap/>
            <w:vAlign w:val="center"/>
          </w:tcPr>
          <w:p w14:paraId="285DAF80">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284" w:type="dxa"/>
            <w:tcBorders>
              <w:top w:val="nil"/>
              <w:left w:val="nil"/>
              <w:bottom w:val="single" w:color="auto" w:sz="4" w:space="0"/>
              <w:right w:val="single" w:color="auto" w:sz="4" w:space="0"/>
            </w:tcBorders>
            <w:shd w:val="clear" w:color="auto" w:fill="auto"/>
            <w:noWrap/>
            <w:vAlign w:val="center"/>
          </w:tcPr>
          <w:p w14:paraId="2D2285E9">
            <w:pPr>
              <w:widowControl/>
              <w:jc w:val="left"/>
              <w:rPr>
                <w:rFonts w:hint="eastAsia" w:ascii="宋体" w:hAnsi="宋体" w:cs="宋体"/>
                <w:kern w:val="0"/>
                <w:sz w:val="20"/>
                <w:szCs w:val="20"/>
              </w:rPr>
            </w:pPr>
            <w:r>
              <w:rPr>
                <w:rFonts w:hint="eastAsia" w:ascii="宋体" w:hAnsi="宋体" w:cs="宋体"/>
                <w:kern w:val="0"/>
                <w:sz w:val="20"/>
                <w:szCs w:val="20"/>
              </w:rPr>
              <w:t>预备党员转正率</w:t>
            </w:r>
          </w:p>
        </w:tc>
        <w:tc>
          <w:tcPr>
            <w:tcW w:w="1104" w:type="dxa"/>
            <w:tcBorders>
              <w:top w:val="nil"/>
              <w:left w:val="nil"/>
              <w:bottom w:val="single" w:color="auto" w:sz="4" w:space="0"/>
              <w:right w:val="single" w:color="auto" w:sz="4" w:space="0"/>
            </w:tcBorders>
            <w:shd w:val="clear" w:color="auto" w:fill="auto"/>
            <w:noWrap/>
            <w:vAlign w:val="center"/>
          </w:tcPr>
          <w:p w14:paraId="20780F44">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38EE7274">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noWrap/>
            <w:vAlign w:val="center"/>
          </w:tcPr>
          <w:p w14:paraId="2EA9A24F">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noWrap/>
            <w:vAlign w:val="center"/>
          </w:tcPr>
          <w:p w14:paraId="3CC48631">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noWrap/>
            <w:vAlign w:val="center"/>
          </w:tcPr>
          <w:p w14:paraId="5A5CE94E">
            <w:pPr>
              <w:widowControl/>
              <w:jc w:val="left"/>
              <w:rPr>
                <w:rFonts w:hint="eastAsia" w:ascii="宋体" w:hAnsi="宋体" w:cs="宋体"/>
                <w:kern w:val="0"/>
                <w:sz w:val="20"/>
                <w:szCs w:val="20"/>
              </w:rPr>
            </w:pPr>
            <w:r>
              <w:rPr>
                <w:rFonts w:hint="eastAsia" w:ascii="宋体" w:hAnsi="宋体" w:cs="宋体"/>
                <w:kern w:val="0"/>
                <w:sz w:val="20"/>
                <w:szCs w:val="20"/>
              </w:rPr>
              <w:t>11</w:t>
            </w:r>
          </w:p>
        </w:tc>
      </w:tr>
      <w:tr w14:paraId="56584B0C">
        <w:tblPrEx>
          <w:tblCellMar>
            <w:top w:w="0" w:type="dxa"/>
            <w:left w:w="108" w:type="dxa"/>
            <w:bottom w:w="0" w:type="dxa"/>
            <w:right w:w="108" w:type="dxa"/>
          </w:tblCellMar>
        </w:tblPrEx>
        <w:trPr>
          <w:trHeight w:val="741"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B39488">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73" w:type="dxa"/>
            <w:vMerge w:val="continue"/>
            <w:tcBorders>
              <w:top w:val="nil"/>
              <w:left w:val="single" w:color="auto" w:sz="4" w:space="0"/>
              <w:bottom w:val="single" w:color="auto" w:sz="4" w:space="0"/>
              <w:right w:val="single" w:color="auto" w:sz="4" w:space="0"/>
            </w:tcBorders>
            <w:vAlign w:val="center"/>
          </w:tcPr>
          <w:p w14:paraId="565623F6">
            <w:pPr>
              <w:widowControl/>
              <w:jc w:val="left"/>
              <w:rPr>
                <w:rFonts w:hint="eastAsia"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noWrap/>
            <w:vAlign w:val="center"/>
          </w:tcPr>
          <w:p w14:paraId="41AE6644">
            <w:pPr>
              <w:widowControl/>
              <w:jc w:val="left"/>
              <w:rPr>
                <w:rFonts w:hint="eastAsia" w:ascii="宋体" w:hAnsi="宋体" w:cs="宋体"/>
                <w:kern w:val="0"/>
                <w:sz w:val="20"/>
                <w:szCs w:val="20"/>
              </w:rPr>
            </w:pPr>
            <w:r>
              <w:rPr>
                <w:rFonts w:hint="eastAsia" w:ascii="宋体" w:hAnsi="宋体" w:cs="宋体"/>
                <w:kern w:val="0"/>
                <w:sz w:val="20"/>
                <w:szCs w:val="20"/>
              </w:rPr>
              <w:t>党员纳新率</w:t>
            </w:r>
          </w:p>
        </w:tc>
        <w:tc>
          <w:tcPr>
            <w:tcW w:w="1104" w:type="dxa"/>
            <w:tcBorders>
              <w:top w:val="nil"/>
              <w:left w:val="nil"/>
              <w:bottom w:val="single" w:color="auto" w:sz="4" w:space="0"/>
              <w:right w:val="single" w:color="auto" w:sz="4" w:space="0"/>
            </w:tcBorders>
            <w:shd w:val="clear" w:color="auto" w:fill="auto"/>
            <w:noWrap/>
            <w:vAlign w:val="center"/>
          </w:tcPr>
          <w:p w14:paraId="5A9606A2">
            <w:pPr>
              <w:widowControl/>
              <w:jc w:val="left"/>
              <w:rPr>
                <w:rFonts w:hint="eastAsia" w:ascii="宋体" w:hAnsi="宋体" w:cs="宋体"/>
                <w:kern w:val="0"/>
                <w:sz w:val="20"/>
                <w:szCs w:val="20"/>
              </w:rPr>
            </w:pPr>
            <w:r>
              <w:rPr>
                <w:rFonts w:hint="eastAsia" w:ascii="宋体" w:hAnsi="宋体" w:cs="宋体"/>
                <w:kern w:val="0"/>
                <w:sz w:val="20"/>
                <w:szCs w:val="20"/>
              </w:rPr>
              <w:t>&gt;=96%</w:t>
            </w:r>
          </w:p>
        </w:tc>
        <w:tc>
          <w:tcPr>
            <w:tcW w:w="1224" w:type="dxa"/>
            <w:tcBorders>
              <w:top w:val="nil"/>
              <w:left w:val="nil"/>
              <w:bottom w:val="single" w:color="auto" w:sz="4" w:space="0"/>
              <w:right w:val="single" w:color="auto" w:sz="4" w:space="0"/>
            </w:tcBorders>
            <w:shd w:val="clear" w:color="auto" w:fill="auto"/>
            <w:noWrap/>
            <w:vAlign w:val="center"/>
          </w:tcPr>
          <w:p w14:paraId="48895D14">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noWrap/>
            <w:vAlign w:val="center"/>
          </w:tcPr>
          <w:p w14:paraId="58C49524">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96" w:type="dxa"/>
            <w:tcBorders>
              <w:top w:val="nil"/>
              <w:left w:val="nil"/>
              <w:bottom w:val="single" w:color="auto" w:sz="4" w:space="0"/>
              <w:right w:val="single" w:color="auto" w:sz="4" w:space="0"/>
            </w:tcBorders>
            <w:shd w:val="clear" w:color="auto" w:fill="auto"/>
            <w:noWrap/>
            <w:vAlign w:val="center"/>
          </w:tcPr>
          <w:p w14:paraId="089A6DDC">
            <w:pPr>
              <w:widowControl/>
              <w:jc w:val="left"/>
              <w:rPr>
                <w:rFonts w:hint="eastAsia" w:ascii="宋体" w:hAnsi="宋体" w:cs="宋体"/>
                <w:kern w:val="0"/>
                <w:sz w:val="20"/>
                <w:szCs w:val="20"/>
              </w:rPr>
            </w:pPr>
            <w:r>
              <w:rPr>
                <w:rFonts w:hint="eastAsia" w:ascii="宋体" w:hAnsi="宋体" w:cs="宋体"/>
                <w:kern w:val="0"/>
                <w:sz w:val="20"/>
                <w:szCs w:val="20"/>
              </w:rPr>
              <w:t>96%</w:t>
            </w:r>
          </w:p>
        </w:tc>
        <w:tc>
          <w:tcPr>
            <w:tcW w:w="733" w:type="dxa"/>
            <w:tcBorders>
              <w:top w:val="nil"/>
              <w:left w:val="nil"/>
              <w:bottom w:val="single" w:color="auto" w:sz="4" w:space="0"/>
              <w:right w:val="single" w:color="auto" w:sz="4" w:space="0"/>
            </w:tcBorders>
            <w:shd w:val="clear" w:color="auto" w:fill="auto"/>
            <w:noWrap/>
            <w:vAlign w:val="center"/>
          </w:tcPr>
          <w:p w14:paraId="277533FD">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5FE4A6CE">
        <w:tblPrEx>
          <w:tblCellMar>
            <w:top w:w="0" w:type="dxa"/>
            <w:left w:w="108" w:type="dxa"/>
            <w:bottom w:w="0" w:type="dxa"/>
            <w:right w:w="108" w:type="dxa"/>
          </w:tblCellMar>
        </w:tblPrEx>
        <w:trPr>
          <w:trHeight w:val="741"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43F8E8">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73" w:type="dxa"/>
            <w:vMerge w:val="continue"/>
            <w:tcBorders>
              <w:top w:val="nil"/>
              <w:left w:val="single" w:color="auto" w:sz="4" w:space="0"/>
              <w:bottom w:val="single" w:color="auto" w:sz="4" w:space="0"/>
              <w:right w:val="single" w:color="auto" w:sz="4" w:space="0"/>
            </w:tcBorders>
            <w:vAlign w:val="center"/>
          </w:tcPr>
          <w:p w14:paraId="0EB0A531">
            <w:pPr>
              <w:widowControl/>
              <w:jc w:val="left"/>
              <w:rPr>
                <w:rFonts w:hint="eastAsia"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noWrap/>
            <w:vAlign w:val="center"/>
          </w:tcPr>
          <w:p w14:paraId="29BDF22A">
            <w:pPr>
              <w:widowControl/>
              <w:jc w:val="left"/>
              <w:rPr>
                <w:rFonts w:hint="eastAsia" w:ascii="宋体" w:hAnsi="宋体" w:cs="宋体"/>
                <w:kern w:val="0"/>
                <w:sz w:val="20"/>
                <w:szCs w:val="20"/>
              </w:rPr>
            </w:pPr>
            <w:r>
              <w:rPr>
                <w:rFonts w:hint="eastAsia" w:ascii="宋体" w:hAnsi="宋体" w:cs="宋体"/>
                <w:kern w:val="0"/>
                <w:sz w:val="20"/>
                <w:szCs w:val="20"/>
              </w:rPr>
              <w:t>党务公开、党内监督覆盖率</w:t>
            </w:r>
          </w:p>
        </w:tc>
        <w:tc>
          <w:tcPr>
            <w:tcW w:w="1104" w:type="dxa"/>
            <w:tcBorders>
              <w:top w:val="nil"/>
              <w:left w:val="nil"/>
              <w:bottom w:val="single" w:color="auto" w:sz="4" w:space="0"/>
              <w:right w:val="single" w:color="auto" w:sz="4" w:space="0"/>
            </w:tcBorders>
            <w:shd w:val="clear" w:color="auto" w:fill="auto"/>
            <w:noWrap/>
            <w:vAlign w:val="center"/>
          </w:tcPr>
          <w:p w14:paraId="76FFF2EC">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54173461">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w:t>
            </w:r>
            <w:r>
              <w:rPr>
                <w:rFonts w:hint="eastAsia" w:ascii="宋体" w:hAnsi="宋体" w:cs="宋体"/>
                <w:kern w:val="0"/>
                <w:sz w:val="20"/>
                <w:szCs w:val="20"/>
                <w:lang w:eastAsia="zh-CN"/>
              </w:rPr>
              <w:t>员会</w:t>
            </w:r>
            <w:r>
              <w:rPr>
                <w:rFonts w:hint="eastAsia" w:ascii="宋体" w:hAnsi="宋体" w:cs="宋体"/>
                <w:kern w:val="0"/>
                <w:sz w:val="20"/>
                <w:szCs w:val="20"/>
              </w:rPr>
              <w:t>2023年工作计划</w:t>
            </w:r>
          </w:p>
        </w:tc>
        <w:tc>
          <w:tcPr>
            <w:tcW w:w="948" w:type="dxa"/>
            <w:tcBorders>
              <w:top w:val="nil"/>
              <w:left w:val="nil"/>
              <w:bottom w:val="single" w:color="auto" w:sz="4" w:space="0"/>
              <w:right w:val="single" w:color="auto" w:sz="4" w:space="0"/>
            </w:tcBorders>
            <w:shd w:val="clear" w:color="auto" w:fill="auto"/>
            <w:noWrap/>
            <w:vAlign w:val="center"/>
          </w:tcPr>
          <w:p w14:paraId="194155C4">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96" w:type="dxa"/>
            <w:tcBorders>
              <w:top w:val="nil"/>
              <w:left w:val="nil"/>
              <w:bottom w:val="single" w:color="auto" w:sz="4" w:space="0"/>
              <w:right w:val="single" w:color="auto" w:sz="4" w:space="0"/>
            </w:tcBorders>
            <w:shd w:val="clear" w:color="auto" w:fill="auto"/>
            <w:noWrap/>
            <w:vAlign w:val="center"/>
          </w:tcPr>
          <w:p w14:paraId="7A840296">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noWrap/>
            <w:vAlign w:val="center"/>
          </w:tcPr>
          <w:p w14:paraId="35643226">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38781C97">
      <w:pPr>
        <w:ind w:firstLine="640" w:firstLineChars="200"/>
        <w:jc w:val="left"/>
        <w:rPr>
          <w:rFonts w:hint="eastAsia" w:ascii="黑体" w:hAnsi="黑体" w:eastAsia="黑体" w:cs="宋体"/>
          <w:bCs/>
          <w:kern w:val="0"/>
          <w:sz w:val="32"/>
          <w:szCs w:val="32"/>
        </w:rPr>
      </w:pPr>
    </w:p>
    <w:p w14:paraId="3E9463C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DC5CF9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08B9DA6E">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5CFD6A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0DD485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42DB92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923FA5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468D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1AB870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C68E76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F8105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47A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3AA847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FA9BA8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D6698D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401BC2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9D0F4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15FACB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E72FDB2">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0C7B5522">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727DA70E">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597EBCA5">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6E17E9D1">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2671FC00">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7DDD564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2F42D5AE">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320C349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949C65E">
      <w:pPr>
        <w:ind w:firstLine="640" w:firstLineChars="200"/>
        <w:rPr>
          <w:rFonts w:ascii="仿宋_GB2312" w:eastAsia="仿宋_GB2312"/>
          <w:sz w:val="32"/>
          <w:szCs w:val="32"/>
        </w:rPr>
      </w:pPr>
    </w:p>
    <w:p w14:paraId="3E4BCB4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B7D0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74C4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B74C4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B19DE"/>
    <w:rsid w:val="0007722A"/>
    <w:rsid w:val="001F20C7"/>
    <w:rsid w:val="00205D05"/>
    <w:rsid w:val="00212429"/>
    <w:rsid w:val="00213C59"/>
    <w:rsid w:val="00255C51"/>
    <w:rsid w:val="003210CE"/>
    <w:rsid w:val="00396DF0"/>
    <w:rsid w:val="003A2F91"/>
    <w:rsid w:val="003A3015"/>
    <w:rsid w:val="003B4706"/>
    <w:rsid w:val="0078238C"/>
    <w:rsid w:val="008454D3"/>
    <w:rsid w:val="009C7052"/>
    <w:rsid w:val="00B70D59"/>
    <w:rsid w:val="00BA7812"/>
    <w:rsid w:val="00C35277"/>
    <w:rsid w:val="00CB683B"/>
    <w:rsid w:val="00EE64AA"/>
    <w:rsid w:val="00F52A8D"/>
    <w:rsid w:val="00FB19DE"/>
    <w:rsid w:val="00FB26BA"/>
    <w:rsid w:val="00FB644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59716B"/>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6403</Words>
  <Characters>7129</Characters>
  <Lines>58</Lines>
  <Paragraphs>16</Paragraphs>
  <TotalTime>6</TotalTime>
  <ScaleCrop>false</ScaleCrop>
  <LinksUpToDate>false</LinksUpToDate>
  <CharactersWithSpaces>7146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2024-12-09T04:08:50Z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